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4AFA" w14:textId="77777777" w:rsidR="006C0C41" w:rsidRDefault="00A52014">
      <w:pPr>
        <w:spacing w:before="75"/>
        <w:ind w:left="628" w:right="623"/>
        <w:jc w:val="center"/>
        <w:rPr>
          <w:b/>
          <w:sz w:val="24"/>
        </w:rPr>
      </w:pPr>
      <w:r>
        <w:rPr>
          <w:b/>
          <w:sz w:val="24"/>
        </w:rPr>
        <w:t>Obec Košice</w:t>
      </w:r>
    </w:p>
    <w:p w14:paraId="0FD6294C" w14:textId="77777777" w:rsidR="006C0C41" w:rsidRDefault="00D55382">
      <w:pPr>
        <w:spacing w:before="45" w:line="276" w:lineRule="auto"/>
        <w:ind w:left="679" w:right="623"/>
        <w:jc w:val="center"/>
        <w:rPr>
          <w:b/>
          <w:sz w:val="24"/>
        </w:rPr>
      </w:pPr>
      <w:r>
        <w:rPr>
          <w:b/>
          <w:sz w:val="24"/>
        </w:rPr>
        <w:t>jako provozovatel veřejného pohřebiště podle § 16 odst. 1 zák. č. 256/2001 Sb., o pohřebnictví a o změně některých zákonů, ve znění pozdějších předpisů (dále jen „zákon o pohřebnictví“),</w:t>
      </w:r>
    </w:p>
    <w:p w14:paraId="25FAFF3C" w14:textId="77777777" w:rsidR="006C0C41" w:rsidRDefault="00D55382">
      <w:pPr>
        <w:spacing w:line="274" w:lineRule="exact"/>
        <w:ind w:left="679" w:right="623"/>
        <w:jc w:val="center"/>
        <w:rPr>
          <w:b/>
          <w:sz w:val="24"/>
        </w:rPr>
      </w:pPr>
      <w:r>
        <w:rPr>
          <w:b/>
          <w:sz w:val="24"/>
        </w:rPr>
        <w:t>vydává v souladu s ustanovením § 19 citovaného zákona</w:t>
      </w:r>
    </w:p>
    <w:p w14:paraId="291E643C" w14:textId="77777777" w:rsidR="006C0C41" w:rsidRDefault="006C0C41">
      <w:pPr>
        <w:pStyle w:val="Zkladntext"/>
        <w:spacing w:before="10"/>
        <w:jc w:val="left"/>
        <w:rPr>
          <w:b/>
          <w:sz w:val="30"/>
        </w:rPr>
      </w:pPr>
    </w:p>
    <w:p w14:paraId="0DF8178F" w14:textId="77777777" w:rsidR="006C0C41" w:rsidRDefault="00D55382">
      <w:pPr>
        <w:pStyle w:val="Nzev"/>
      </w:pPr>
      <w:r>
        <w:t>ŘÁD</w:t>
      </w:r>
      <w:r w:rsidR="00BA3739">
        <w:t xml:space="preserve"> VEŘEJNÉHO POHŘEBIŠTĚ OBCE Košice</w:t>
      </w:r>
    </w:p>
    <w:p w14:paraId="01AC808D" w14:textId="77777777" w:rsidR="006C0C41" w:rsidRDefault="006C0C41">
      <w:pPr>
        <w:pStyle w:val="Zkladntext"/>
        <w:spacing w:before="4"/>
        <w:jc w:val="left"/>
        <w:rPr>
          <w:b/>
          <w:sz w:val="55"/>
        </w:rPr>
      </w:pPr>
    </w:p>
    <w:p w14:paraId="51CC4C28" w14:textId="77777777" w:rsidR="00CB1DAA" w:rsidRDefault="00CB1DAA" w:rsidP="00CB1DAA">
      <w:pPr>
        <w:pStyle w:val="Zkladntext"/>
        <w:spacing w:before="4"/>
        <w:rPr>
          <w:sz w:val="22"/>
          <w:szCs w:val="22"/>
        </w:rPr>
      </w:pPr>
      <w:r>
        <w:rPr>
          <w:sz w:val="22"/>
          <w:szCs w:val="22"/>
        </w:rPr>
        <w:t xml:space="preserve">Zastupitelstvo obce Košice ve smyslu § 84 odst. 3 zákona č. 128/2000 Sb., o obcích ve znění pozdějších předpisů, schválilo tento Řád veřejného pohřebiště obce Košice dne </w:t>
      </w:r>
      <w:r w:rsidR="00E02242" w:rsidRPr="00E02242">
        <w:rPr>
          <w:b/>
          <w:bCs/>
          <w:sz w:val="22"/>
          <w:szCs w:val="22"/>
        </w:rPr>
        <w:t>7.5.2020</w:t>
      </w:r>
      <w:r>
        <w:rPr>
          <w:sz w:val="22"/>
          <w:szCs w:val="22"/>
        </w:rPr>
        <w:t xml:space="preserve">, pod číslem usnesení </w:t>
      </w:r>
      <w:r w:rsidR="00E02242" w:rsidRPr="00E02242">
        <w:rPr>
          <w:b/>
          <w:bCs/>
          <w:sz w:val="22"/>
          <w:szCs w:val="22"/>
        </w:rPr>
        <w:t>2/2020</w:t>
      </w:r>
      <w:r>
        <w:rPr>
          <w:sz w:val="22"/>
          <w:szCs w:val="22"/>
        </w:rPr>
        <w:t xml:space="preserve"> (dále jen „Řád“).</w:t>
      </w:r>
    </w:p>
    <w:p w14:paraId="25927772" w14:textId="77777777" w:rsidR="00CB1DAA" w:rsidRDefault="00CB1DAA" w:rsidP="00CB1DAA">
      <w:pPr>
        <w:pStyle w:val="Zkladntext"/>
        <w:spacing w:before="4"/>
        <w:rPr>
          <w:sz w:val="22"/>
          <w:szCs w:val="22"/>
        </w:rPr>
      </w:pPr>
      <w:r>
        <w:rPr>
          <w:sz w:val="22"/>
          <w:szCs w:val="22"/>
        </w:rPr>
        <w:t xml:space="preserve">Řád veřejného pohřebiště obec vydává po předchozím souhlasu Krajského úřadu Jihočeského kraje ze dne </w:t>
      </w:r>
      <w:r w:rsidR="00E02242" w:rsidRPr="00E02242">
        <w:rPr>
          <w:b/>
          <w:bCs/>
          <w:sz w:val="22"/>
          <w:szCs w:val="22"/>
        </w:rPr>
        <w:t>12.5.2020</w:t>
      </w:r>
      <w:r>
        <w:rPr>
          <w:sz w:val="22"/>
          <w:szCs w:val="22"/>
        </w:rPr>
        <w:t xml:space="preserve"> vydaného pod č.j.: </w:t>
      </w:r>
      <w:r w:rsidR="00E02242" w:rsidRPr="00E02242">
        <w:rPr>
          <w:b/>
          <w:bCs/>
          <w:sz w:val="22"/>
          <w:szCs w:val="22"/>
        </w:rPr>
        <w:t>KUJCK 59216/2020</w:t>
      </w:r>
    </w:p>
    <w:p w14:paraId="7EFD23E1" w14:textId="77777777" w:rsidR="00CB1DAA" w:rsidRPr="00CB1DAA" w:rsidRDefault="00CB1DAA">
      <w:pPr>
        <w:pStyle w:val="Zkladntext"/>
        <w:spacing w:before="4"/>
        <w:jc w:val="left"/>
        <w:rPr>
          <w:sz w:val="22"/>
          <w:szCs w:val="22"/>
        </w:rPr>
      </w:pPr>
    </w:p>
    <w:p w14:paraId="50567C47" w14:textId="77777777" w:rsidR="006C0C41" w:rsidRDefault="00D55382">
      <w:pPr>
        <w:pStyle w:val="Nadpis11"/>
        <w:ind w:left="3533" w:right="3531" w:firstLine="2"/>
      </w:pPr>
      <w:r>
        <w:t>Článek č. 1 Úvodní</w:t>
      </w:r>
      <w:r>
        <w:rPr>
          <w:spacing w:val="-8"/>
        </w:rPr>
        <w:t xml:space="preserve"> </w:t>
      </w:r>
      <w:r>
        <w:t>ustanovení</w:t>
      </w:r>
    </w:p>
    <w:p w14:paraId="20EA8E48" w14:textId="77777777" w:rsidR="006C0C41" w:rsidRDefault="006C0C41">
      <w:pPr>
        <w:pStyle w:val="Zkladntext"/>
        <w:spacing w:before="6"/>
        <w:jc w:val="left"/>
        <w:rPr>
          <w:b/>
          <w:sz w:val="30"/>
        </w:rPr>
      </w:pPr>
    </w:p>
    <w:p w14:paraId="61611581" w14:textId="77777777" w:rsidR="006C0C41" w:rsidRDefault="00D55382">
      <w:pPr>
        <w:pStyle w:val="Odstavecseseznamem"/>
        <w:numPr>
          <w:ilvl w:val="0"/>
          <w:numId w:val="7"/>
        </w:numPr>
        <w:tabs>
          <w:tab w:val="left" w:pos="808"/>
        </w:tabs>
        <w:spacing w:before="84"/>
        <w:ind w:hanging="361"/>
        <w:jc w:val="both"/>
        <w:rPr>
          <w:sz w:val="24"/>
        </w:rPr>
      </w:pPr>
      <w:r>
        <w:rPr>
          <w:sz w:val="24"/>
        </w:rPr>
        <w:t>Provozování pohřebiště je službou ve veřejném zájmu v samostatné působnosti</w:t>
      </w:r>
      <w:r>
        <w:rPr>
          <w:spacing w:val="-11"/>
          <w:sz w:val="24"/>
        </w:rPr>
        <w:t xml:space="preserve"> </w:t>
      </w:r>
      <w:r>
        <w:rPr>
          <w:sz w:val="24"/>
        </w:rPr>
        <w:t>obce.</w:t>
      </w:r>
    </w:p>
    <w:p w14:paraId="6482DC4A" w14:textId="77777777" w:rsidR="006C0C41" w:rsidRDefault="00D55382">
      <w:pPr>
        <w:pStyle w:val="Odstavecseseznamem"/>
        <w:numPr>
          <w:ilvl w:val="0"/>
          <w:numId w:val="7"/>
        </w:numPr>
        <w:tabs>
          <w:tab w:val="left" w:pos="808"/>
        </w:tabs>
        <w:spacing w:before="111" w:line="264" w:lineRule="auto"/>
        <w:ind w:right="105" w:hanging="360"/>
        <w:jc w:val="both"/>
        <w:rPr>
          <w:sz w:val="24"/>
        </w:rPr>
      </w:pPr>
      <w:r>
        <w:rPr>
          <w:sz w:val="24"/>
        </w:rPr>
        <w:t>Provozovatelem ve</w:t>
      </w:r>
      <w:r w:rsidR="00BA3739">
        <w:rPr>
          <w:sz w:val="24"/>
        </w:rPr>
        <w:t>řejného pohřebiště je obec Košice, IČ: 00252468, se sídlem 39117 Košice 47</w:t>
      </w:r>
      <w:r>
        <w:rPr>
          <w:sz w:val="24"/>
        </w:rPr>
        <w:t>, zastoupená starostou</w:t>
      </w:r>
      <w:r>
        <w:rPr>
          <w:spacing w:val="-2"/>
          <w:sz w:val="24"/>
        </w:rPr>
        <w:t xml:space="preserve"> </w:t>
      </w:r>
      <w:r>
        <w:rPr>
          <w:sz w:val="24"/>
        </w:rPr>
        <w:t>obce.</w:t>
      </w:r>
    </w:p>
    <w:p w14:paraId="0B49E857" w14:textId="77777777" w:rsidR="006C0C41" w:rsidRPr="00810581" w:rsidRDefault="00D55382">
      <w:pPr>
        <w:pStyle w:val="Odstavecseseznamem"/>
        <w:numPr>
          <w:ilvl w:val="0"/>
          <w:numId w:val="7"/>
        </w:numPr>
        <w:tabs>
          <w:tab w:val="left" w:pos="808"/>
        </w:tabs>
        <w:spacing w:before="89" w:line="266" w:lineRule="auto"/>
        <w:ind w:right="106" w:hanging="360"/>
        <w:jc w:val="both"/>
        <w:rPr>
          <w:bCs/>
          <w:sz w:val="24"/>
        </w:rPr>
      </w:pPr>
      <w:r w:rsidRPr="00810581">
        <w:rPr>
          <w:bCs/>
          <w:sz w:val="24"/>
        </w:rPr>
        <w:t>Provozovatel pohřebiště zajišťuje provoz pohřebiště vlastními prostředky a je zároveň jeho správcem (dále jen „provozovatel</w:t>
      </w:r>
      <w:r w:rsidRPr="00810581">
        <w:rPr>
          <w:bCs/>
          <w:spacing w:val="-2"/>
          <w:sz w:val="24"/>
        </w:rPr>
        <w:t xml:space="preserve"> </w:t>
      </w:r>
      <w:r w:rsidRPr="00810581">
        <w:rPr>
          <w:bCs/>
          <w:sz w:val="24"/>
        </w:rPr>
        <w:t>pohřebiště“).</w:t>
      </w:r>
    </w:p>
    <w:p w14:paraId="2D6302D6" w14:textId="77777777" w:rsidR="006C0C41" w:rsidRDefault="006C0C41">
      <w:pPr>
        <w:pStyle w:val="Zkladntext"/>
        <w:jc w:val="left"/>
        <w:rPr>
          <w:b/>
          <w:sz w:val="26"/>
        </w:rPr>
      </w:pPr>
    </w:p>
    <w:p w14:paraId="4A708C2E" w14:textId="77777777" w:rsidR="006C0C41" w:rsidRDefault="006C0C41">
      <w:pPr>
        <w:pStyle w:val="Zkladntext"/>
        <w:spacing w:before="8"/>
        <w:jc w:val="left"/>
        <w:rPr>
          <w:b/>
          <w:sz w:val="28"/>
        </w:rPr>
      </w:pPr>
    </w:p>
    <w:p w14:paraId="5ABEA2A4" w14:textId="77777777" w:rsidR="006C0C41" w:rsidRDefault="00D55382">
      <w:pPr>
        <w:pStyle w:val="Nadpis11"/>
        <w:spacing w:line="322" w:lineRule="exact"/>
      </w:pPr>
      <w:r>
        <w:t>Článek č. 2</w:t>
      </w:r>
    </w:p>
    <w:p w14:paraId="5E7256ED" w14:textId="77777777" w:rsidR="006C0C41" w:rsidRDefault="00D55382">
      <w:pPr>
        <w:spacing w:line="242" w:lineRule="auto"/>
        <w:ind w:left="1397" w:right="1381"/>
        <w:jc w:val="center"/>
        <w:rPr>
          <w:b/>
          <w:sz w:val="28"/>
        </w:rPr>
      </w:pPr>
      <w:r>
        <w:rPr>
          <w:b/>
          <w:sz w:val="28"/>
        </w:rPr>
        <w:t>Doba zpřístupnění pohřebiště, povinnosti návštěvníků, způsob a pravidla užívání zařízení</w:t>
      </w:r>
    </w:p>
    <w:p w14:paraId="637DAAC5" w14:textId="77777777" w:rsidR="006C0C41" w:rsidRDefault="006C0C41">
      <w:pPr>
        <w:pStyle w:val="Zkladntext"/>
        <w:spacing w:before="1"/>
        <w:jc w:val="left"/>
        <w:rPr>
          <w:b/>
          <w:sz w:val="30"/>
        </w:rPr>
      </w:pPr>
    </w:p>
    <w:p w14:paraId="670D3E40" w14:textId="77777777" w:rsidR="00101B6F" w:rsidRPr="00101B6F" w:rsidRDefault="00D55382" w:rsidP="00810581">
      <w:pPr>
        <w:pStyle w:val="Odstavecseseznamem"/>
        <w:numPr>
          <w:ilvl w:val="0"/>
          <w:numId w:val="6"/>
        </w:numPr>
        <w:tabs>
          <w:tab w:val="left" w:pos="836"/>
        </w:tabs>
        <w:spacing w:before="1" w:line="261" w:lineRule="auto"/>
        <w:ind w:left="476" w:right="116"/>
        <w:jc w:val="both"/>
        <w:rPr>
          <w:sz w:val="24"/>
        </w:rPr>
      </w:pPr>
      <w:r w:rsidRPr="00101B6F">
        <w:rPr>
          <w:sz w:val="24"/>
        </w:rPr>
        <w:t xml:space="preserve">Pohřebiště na </w:t>
      </w:r>
      <w:r w:rsidR="00BA3739" w:rsidRPr="00101B6F">
        <w:rPr>
          <w:sz w:val="24"/>
        </w:rPr>
        <w:t>pozem</w:t>
      </w:r>
      <w:r w:rsidR="00ED4F5D" w:rsidRPr="00101B6F">
        <w:rPr>
          <w:sz w:val="24"/>
        </w:rPr>
        <w:t>ku</w:t>
      </w:r>
      <w:r w:rsidR="00BA3739" w:rsidRPr="00101B6F">
        <w:rPr>
          <w:sz w:val="24"/>
        </w:rPr>
        <w:t xml:space="preserve"> parc. č. 797/</w:t>
      </w:r>
      <w:r w:rsidR="00810581" w:rsidRPr="00101B6F">
        <w:rPr>
          <w:sz w:val="24"/>
        </w:rPr>
        <w:t>3 k.ú.</w:t>
      </w:r>
      <w:r w:rsidR="00BA3739" w:rsidRPr="00101B6F">
        <w:rPr>
          <w:sz w:val="24"/>
        </w:rPr>
        <w:t xml:space="preserve"> Košice u Soběslavi</w:t>
      </w:r>
      <w:r w:rsidR="00637B28" w:rsidRPr="00101B6F">
        <w:rPr>
          <w:sz w:val="24"/>
        </w:rPr>
        <w:t xml:space="preserve"> je </w:t>
      </w:r>
      <w:r w:rsidR="00810581" w:rsidRPr="00101B6F">
        <w:rPr>
          <w:sz w:val="24"/>
        </w:rPr>
        <w:t>místo veřejně</w:t>
      </w:r>
      <w:r w:rsidRPr="00101B6F">
        <w:rPr>
          <w:sz w:val="24"/>
        </w:rPr>
        <w:t xml:space="preserve"> přístupné.</w:t>
      </w:r>
      <w:r w:rsidR="00637B28" w:rsidRPr="00101B6F">
        <w:rPr>
          <w:sz w:val="24"/>
        </w:rPr>
        <w:t xml:space="preserve"> Provozní doba v jejímž průběhu je pohřebiště zpřístupněné veřejnosti se stanoví </w:t>
      </w:r>
      <w:r w:rsidR="00810581" w:rsidRPr="00101B6F">
        <w:rPr>
          <w:sz w:val="24"/>
        </w:rPr>
        <w:t xml:space="preserve">takto:  </w:t>
      </w:r>
      <w:r w:rsidR="00ED4F5D" w:rsidRPr="00101B6F">
        <w:rPr>
          <w:sz w:val="24"/>
        </w:rPr>
        <w:t xml:space="preserve">                        </w:t>
      </w:r>
      <w:r w:rsidR="00637B28" w:rsidRPr="00101B6F">
        <w:rPr>
          <w:sz w:val="24"/>
        </w:rPr>
        <w:t xml:space="preserve"> v měsících listopad – březen 7.00 – 17.00 hod., duben – říjen 7.00 – 20.00 hod. V den Památky zesnulých, včetně předcházející soboty a neděle 7.00 – 19.00 hod. </w:t>
      </w:r>
    </w:p>
    <w:p w14:paraId="021A12AB" w14:textId="77777777" w:rsidR="006C0C41" w:rsidRPr="00ED4F5D" w:rsidRDefault="00637B28" w:rsidP="00ED4F5D">
      <w:pPr>
        <w:tabs>
          <w:tab w:val="left" w:pos="836"/>
        </w:tabs>
        <w:spacing w:before="1" w:line="261" w:lineRule="auto"/>
        <w:ind w:left="476" w:right="116"/>
        <w:jc w:val="both"/>
        <w:rPr>
          <w:b/>
          <w:sz w:val="24"/>
        </w:rPr>
      </w:pPr>
      <w:r w:rsidRPr="00ED4F5D">
        <w:rPr>
          <w:sz w:val="24"/>
        </w:rPr>
        <w:t>Návštěvníci jsou povinni opustit pohřebiště do konce uzavírací doby bez upozornění.</w:t>
      </w:r>
      <w:r w:rsidR="00D55382" w:rsidRPr="00ED4F5D">
        <w:rPr>
          <w:sz w:val="24"/>
        </w:rPr>
        <w:t xml:space="preserve"> </w:t>
      </w:r>
      <w:r w:rsidR="00ED4F5D">
        <w:rPr>
          <w:sz w:val="24"/>
        </w:rPr>
        <w:t xml:space="preserve">           </w:t>
      </w:r>
      <w:r w:rsidR="00D55382" w:rsidRPr="00810581">
        <w:rPr>
          <w:bCs/>
          <w:sz w:val="24"/>
        </w:rPr>
        <w:t>Návštěvníci jsou povinni při odchodu z pohřebiště řádně uzavřít</w:t>
      </w:r>
      <w:r w:rsidR="00D55382" w:rsidRPr="00810581">
        <w:rPr>
          <w:bCs/>
          <w:spacing w:val="-1"/>
          <w:sz w:val="24"/>
        </w:rPr>
        <w:t xml:space="preserve"> </w:t>
      </w:r>
      <w:r w:rsidR="00D55382" w:rsidRPr="00810581">
        <w:rPr>
          <w:bCs/>
          <w:sz w:val="24"/>
        </w:rPr>
        <w:t>vchod.</w:t>
      </w:r>
    </w:p>
    <w:p w14:paraId="3D4ACF70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69" w:line="268" w:lineRule="auto"/>
        <w:ind w:right="118"/>
        <w:jc w:val="both"/>
        <w:rPr>
          <w:sz w:val="24"/>
        </w:rPr>
      </w:pPr>
      <w:r>
        <w:rPr>
          <w:sz w:val="24"/>
        </w:rPr>
        <w:t>Provozovatel pohřebiště může z oprávněných důvodů přístup veřejnosti na pohřebiště nebo jeho část dočasně omezit nebo zakázat, např. v době provádění terénních úprav, manipulování s lidskými ostatky v rámci pohřebiště, exhumací, za sněhu, náledí apod., pokud nelze zajistit bezpečnost</w:t>
      </w:r>
      <w:r>
        <w:rPr>
          <w:spacing w:val="-2"/>
          <w:sz w:val="24"/>
        </w:rPr>
        <w:t xml:space="preserve"> </w:t>
      </w:r>
      <w:r>
        <w:rPr>
          <w:sz w:val="24"/>
        </w:rPr>
        <w:t>návštěvníků.</w:t>
      </w:r>
    </w:p>
    <w:p w14:paraId="7A04C0B2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2" w:line="268" w:lineRule="auto"/>
        <w:ind w:right="122"/>
        <w:jc w:val="both"/>
        <w:rPr>
          <w:sz w:val="24"/>
        </w:rPr>
      </w:pPr>
      <w:r>
        <w:rPr>
          <w:sz w:val="24"/>
        </w:rPr>
        <w:t>Dětem do 10 let věku je povolen vstup na pohřebiště pouze v doprovodu dospělých osob.</w:t>
      </w:r>
    </w:p>
    <w:p w14:paraId="236168AC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5" w:line="268" w:lineRule="auto"/>
        <w:ind w:left="835" w:right="118"/>
        <w:jc w:val="both"/>
        <w:rPr>
          <w:sz w:val="24"/>
        </w:rPr>
      </w:pPr>
      <w:r>
        <w:rPr>
          <w:sz w:val="24"/>
        </w:rPr>
        <w:t>Vozidla (s výjimkou invalidních vozíků) mohou na pohřebiště vjíždět a zdržovat se zde pouze se souhlasem provozovatele pohřebiště a při splnění jím stanovených podmínek.</w:t>
      </w:r>
    </w:p>
    <w:p w14:paraId="6AF959A3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4" w:line="268" w:lineRule="auto"/>
        <w:ind w:left="835" w:right="155"/>
        <w:jc w:val="both"/>
        <w:rPr>
          <w:sz w:val="24"/>
        </w:rPr>
      </w:pPr>
      <w:r>
        <w:rPr>
          <w:sz w:val="24"/>
        </w:rPr>
        <w:t>Po pohřebišti je zakázáno pohybovat se na kolech, kolečkových bruslích, koloběžkách, skateboardech</w:t>
      </w:r>
      <w:r>
        <w:rPr>
          <w:spacing w:val="-1"/>
          <w:sz w:val="24"/>
        </w:rPr>
        <w:t xml:space="preserve"> </w:t>
      </w:r>
      <w:r>
        <w:rPr>
          <w:sz w:val="24"/>
        </w:rPr>
        <w:t>apod.</w:t>
      </w:r>
    </w:p>
    <w:p w14:paraId="7AF0A32B" w14:textId="77777777" w:rsidR="006C0C41" w:rsidRDefault="006C0C41">
      <w:pPr>
        <w:spacing w:line="268" w:lineRule="auto"/>
        <w:jc w:val="both"/>
        <w:rPr>
          <w:sz w:val="24"/>
        </w:rPr>
        <w:sectPr w:rsidR="006C0C41">
          <w:footerReference w:type="default" r:id="rId7"/>
          <w:type w:val="continuous"/>
          <w:pgSz w:w="11900" w:h="16840"/>
          <w:pgMar w:top="1340" w:right="1300" w:bottom="980" w:left="1300" w:header="708" w:footer="783" w:gutter="0"/>
          <w:pgNumType w:start="1"/>
          <w:cols w:space="708"/>
        </w:sectPr>
      </w:pPr>
    </w:p>
    <w:p w14:paraId="7CB0AA9E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68" w:line="266" w:lineRule="auto"/>
        <w:ind w:left="835" w:right="154"/>
        <w:jc w:val="both"/>
        <w:rPr>
          <w:sz w:val="24"/>
        </w:rPr>
      </w:pPr>
      <w:r>
        <w:rPr>
          <w:sz w:val="24"/>
        </w:rPr>
        <w:lastRenderedPageBreak/>
        <w:t>Návštěvníci jsou povinni chovat se na pohřebišti důstojně a pietně s ohledem na toto místo a řídit se tímto Řádem. Zejména není návštěvníkům pohřebiště dovoleno se zde chovat hlučně, používat hlasitě mobilní telefony a audio/video přijímače, kouřit, požívat alkoholické nápoje a jiné omamné látky, odhazovat odpadky mimo odpadové nádoby, vstupovat se psy, kočkami a jinými zvířaty a používat prostory pohřebiště i jeho vybavení k jiným účelům, než k jakým jsou určeny. Osobám pod vlivem návykových a psychotropních látek je vstup na pohřebiště</w:t>
      </w:r>
      <w:r>
        <w:rPr>
          <w:spacing w:val="-6"/>
          <w:sz w:val="24"/>
        </w:rPr>
        <w:t xml:space="preserve"> </w:t>
      </w:r>
      <w:r>
        <w:rPr>
          <w:sz w:val="24"/>
        </w:rPr>
        <w:t>zakázán.</w:t>
      </w:r>
    </w:p>
    <w:p w14:paraId="208E754C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85" w:line="268" w:lineRule="auto"/>
        <w:ind w:left="835" w:right="158"/>
        <w:jc w:val="both"/>
        <w:rPr>
          <w:sz w:val="24"/>
        </w:rPr>
      </w:pPr>
      <w:r>
        <w:rPr>
          <w:sz w:val="24"/>
        </w:rPr>
        <w:t>Z hygienických důvodů není dovoleno na pohřebišti pít vodu z vodovodního kohoutku. Rovněž není dovoleno tuto vodu odnášet v náhradních obalech mimo pohřebiště.</w:t>
      </w:r>
    </w:p>
    <w:p w14:paraId="1436AEDE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3" w:line="268" w:lineRule="auto"/>
        <w:ind w:right="155"/>
        <w:jc w:val="both"/>
        <w:rPr>
          <w:sz w:val="24"/>
        </w:rPr>
      </w:pPr>
      <w:r>
        <w:rPr>
          <w:sz w:val="24"/>
        </w:rPr>
        <w:t>Svítidla a svíčky mohou návštěvníci a nájemci na pohřebišti rozsvěcovat pouze pokud jsou vhodným způsobem zabezpečeny proti vzniku požáru. Provozovatel pohřebiště může v odůvodněných případech používání svítidel a svíček na pohřebišti omezit nebo i</w:t>
      </w:r>
      <w:r>
        <w:rPr>
          <w:spacing w:val="-1"/>
          <w:sz w:val="24"/>
        </w:rPr>
        <w:t xml:space="preserve"> </w:t>
      </w:r>
      <w:r>
        <w:rPr>
          <w:sz w:val="24"/>
        </w:rPr>
        <w:t>zakázat.</w:t>
      </w:r>
    </w:p>
    <w:p w14:paraId="10DF2E5A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7" w:line="266" w:lineRule="auto"/>
        <w:ind w:left="835" w:right="155"/>
        <w:jc w:val="both"/>
        <w:rPr>
          <w:sz w:val="24"/>
        </w:rPr>
      </w:pPr>
      <w:r w:rsidRPr="00810581">
        <w:rPr>
          <w:bCs/>
          <w:sz w:val="24"/>
        </w:rPr>
        <w:t>Ukládání nádob, nářadí a jiných předmětů, včetně dílů hrobového zařízení, na zelené pásy a místa kolem hrobových míst není dovoleno.</w:t>
      </w:r>
      <w:r>
        <w:rPr>
          <w:b/>
          <w:sz w:val="24"/>
        </w:rPr>
        <w:t xml:space="preserve"> </w:t>
      </w:r>
      <w:r>
        <w:rPr>
          <w:sz w:val="24"/>
        </w:rPr>
        <w:t>Nádoby na odpadky před vchodem na pohřebiště slouží jen pro ukládání odpadu z pohřebiště – mimo odpadu stavebního a</w:t>
      </w:r>
      <w:r>
        <w:rPr>
          <w:spacing w:val="-2"/>
          <w:sz w:val="24"/>
        </w:rPr>
        <w:t xml:space="preserve"> </w:t>
      </w:r>
      <w:r>
        <w:rPr>
          <w:sz w:val="24"/>
        </w:rPr>
        <w:t>nebezpečného.</w:t>
      </w:r>
    </w:p>
    <w:p w14:paraId="5D01F2E8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8" w:line="268" w:lineRule="auto"/>
        <w:ind w:right="117" w:hanging="361"/>
        <w:jc w:val="both"/>
        <w:rPr>
          <w:sz w:val="24"/>
        </w:rPr>
      </w:pPr>
      <w:r>
        <w:rPr>
          <w:sz w:val="24"/>
        </w:rPr>
        <w:t>Na pohřebišti je povoleno provádět práce pouze v takovém rozsahu a způsobem, který stanoví tento Řád, nájemní smlouva a provozovatel</w:t>
      </w:r>
      <w:r>
        <w:rPr>
          <w:spacing w:val="-4"/>
          <w:sz w:val="24"/>
        </w:rPr>
        <w:t xml:space="preserve"> </w:t>
      </w:r>
      <w:r>
        <w:rPr>
          <w:sz w:val="24"/>
        </w:rPr>
        <w:t>pohřebiště.</w:t>
      </w:r>
    </w:p>
    <w:p w14:paraId="2ED0A1AC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78" w:line="266" w:lineRule="auto"/>
        <w:ind w:left="835" w:right="121"/>
        <w:jc w:val="both"/>
        <w:rPr>
          <w:sz w:val="24"/>
        </w:rPr>
      </w:pPr>
      <w:r>
        <w:rPr>
          <w:sz w:val="24"/>
        </w:rPr>
        <w:t>Na pohřebišti není dovoleno bez předchozího souhlasu provozovatele pohřebiště pořádat presentační akce soukromých a podnikatelských subjektů zaměřené na výkon následné služby pro nájemce či prodej jimi nabízeného</w:t>
      </w:r>
      <w:r>
        <w:rPr>
          <w:spacing w:val="-8"/>
          <w:sz w:val="24"/>
        </w:rPr>
        <w:t xml:space="preserve"> </w:t>
      </w:r>
      <w:r>
        <w:rPr>
          <w:sz w:val="24"/>
        </w:rPr>
        <w:t>zboží.</w:t>
      </w:r>
    </w:p>
    <w:p w14:paraId="14D712D6" w14:textId="77777777" w:rsidR="006C0C41" w:rsidRDefault="00D55382">
      <w:pPr>
        <w:pStyle w:val="Odstavecseseznamem"/>
        <w:numPr>
          <w:ilvl w:val="0"/>
          <w:numId w:val="6"/>
        </w:numPr>
        <w:tabs>
          <w:tab w:val="left" w:pos="836"/>
        </w:tabs>
        <w:spacing w:before="81" w:line="266" w:lineRule="auto"/>
        <w:ind w:left="835" w:right="114"/>
        <w:jc w:val="both"/>
        <w:rPr>
          <w:sz w:val="24"/>
        </w:rPr>
      </w:pPr>
      <w:r>
        <w:rPr>
          <w:sz w:val="24"/>
        </w:rPr>
        <w:t xml:space="preserve">Všechny osoby vykonávající činnosti související se zajištěním řádného provozu pohřebiště jsou povinny tak činit v souladu se zákonem o pohřebnictví a ostatními právními normami </w:t>
      </w:r>
      <w:r w:rsidR="00810581">
        <w:rPr>
          <w:sz w:val="24"/>
        </w:rPr>
        <w:t>upravujícími takovou činnost</w:t>
      </w:r>
      <w:r>
        <w:rPr>
          <w:sz w:val="24"/>
        </w:rPr>
        <w:t>,  dodržovat  tento  Řád,  a  to  vždy s vědomím provozovatele pohřebiště nebo s jeho předchozím souhlasem, je-li ho dle tohoto Řádu</w:t>
      </w:r>
      <w:r>
        <w:rPr>
          <w:spacing w:val="-1"/>
          <w:sz w:val="24"/>
        </w:rPr>
        <w:t xml:space="preserve"> </w:t>
      </w:r>
      <w:r>
        <w:rPr>
          <w:sz w:val="24"/>
        </w:rPr>
        <w:t>potřeba.</w:t>
      </w:r>
    </w:p>
    <w:p w14:paraId="19FA5CEF" w14:textId="77777777" w:rsidR="006C0C41" w:rsidRDefault="006C0C41">
      <w:pPr>
        <w:pStyle w:val="Zkladntext"/>
        <w:jc w:val="left"/>
        <w:rPr>
          <w:sz w:val="26"/>
        </w:rPr>
      </w:pPr>
    </w:p>
    <w:p w14:paraId="34CBF15A" w14:textId="77777777" w:rsidR="006C0C41" w:rsidRDefault="006C0C41">
      <w:pPr>
        <w:pStyle w:val="Zkladntext"/>
        <w:spacing w:before="9"/>
        <w:jc w:val="left"/>
        <w:rPr>
          <w:sz w:val="29"/>
        </w:rPr>
      </w:pPr>
    </w:p>
    <w:p w14:paraId="0EF6C9D6" w14:textId="77777777" w:rsidR="006C0C41" w:rsidRDefault="00D55382">
      <w:pPr>
        <w:pStyle w:val="Nadpis11"/>
        <w:spacing w:line="322" w:lineRule="exact"/>
      </w:pPr>
      <w:r>
        <w:t>Článek č. 3</w:t>
      </w:r>
    </w:p>
    <w:p w14:paraId="2CA9DCCD" w14:textId="77777777" w:rsidR="006C0C41" w:rsidRDefault="00D55382">
      <w:pPr>
        <w:ind w:left="106" w:right="105"/>
        <w:jc w:val="center"/>
        <w:rPr>
          <w:b/>
          <w:sz w:val="28"/>
        </w:rPr>
      </w:pPr>
      <w:r>
        <w:rPr>
          <w:b/>
          <w:sz w:val="28"/>
        </w:rPr>
        <w:t>Povinnosti provozovatele pohřebiště, rozsah poskytovaných služeb</w:t>
      </w:r>
    </w:p>
    <w:p w14:paraId="0B8877F2" w14:textId="77777777" w:rsidR="006C0C41" w:rsidRDefault="006C0C41">
      <w:pPr>
        <w:pStyle w:val="Zkladntext"/>
        <w:spacing w:before="9"/>
        <w:jc w:val="left"/>
        <w:rPr>
          <w:b/>
          <w:sz w:val="30"/>
        </w:rPr>
      </w:pPr>
    </w:p>
    <w:p w14:paraId="0D6E3FBB" w14:textId="77777777" w:rsidR="006C0C41" w:rsidRDefault="00D55382">
      <w:pPr>
        <w:pStyle w:val="Odstavecseseznamem"/>
        <w:numPr>
          <w:ilvl w:val="0"/>
          <w:numId w:val="5"/>
        </w:numPr>
        <w:tabs>
          <w:tab w:val="left" w:pos="810"/>
        </w:tabs>
        <w:spacing w:before="0"/>
        <w:ind w:hanging="349"/>
        <w:jc w:val="both"/>
        <w:rPr>
          <w:sz w:val="24"/>
        </w:rPr>
      </w:pPr>
      <w:r>
        <w:rPr>
          <w:sz w:val="24"/>
        </w:rPr>
        <w:t>Provozovatel pohřebiště je</w:t>
      </w:r>
      <w:r>
        <w:rPr>
          <w:spacing w:val="-3"/>
          <w:sz w:val="24"/>
        </w:rPr>
        <w:t xml:space="preserve"> </w:t>
      </w:r>
      <w:r>
        <w:rPr>
          <w:sz w:val="24"/>
        </w:rPr>
        <w:t>povinen:</w:t>
      </w:r>
    </w:p>
    <w:p w14:paraId="598FA0FB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before="108" w:line="266" w:lineRule="auto"/>
        <w:ind w:right="118"/>
        <w:jc w:val="both"/>
        <w:rPr>
          <w:sz w:val="24"/>
        </w:rPr>
      </w:pPr>
      <w:r>
        <w:rPr>
          <w:sz w:val="24"/>
        </w:rPr>
        <w:t>do hrobu nebo hrobky pohřbívat pouze lidské pozůstatky nebo ukládat lidské ostatky a provozovat veřejné pohřebiště v souladu s tímto Řádem a platnými zákony</w:t>
      </w:r>
    </w:p>
    <w:p w14:paraId="761F91ED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line="266" w:lineRule="auto"/>
        <w:ind w:right="119"/>
        <w:jc w:val="both"/>
        <w:rPr>
          <w:sz w:val="24"/>
        </w:rPr>
      </w:pPr>
      <w:r>
        <w:rPr>
          <w:sz w:val="24"/>
        </w:rPr>
        <w:t xml:space="preserve">zdržet se při kontaktu s pozůstalými chování nešetrného k jejich citům a umožnit při smutečních obřadech účast registrovaných církví, náboženských společností nebo jiných osob v souladu s projevenou vůlí zemřelé osoby, a pokud se tato osoba během   svého   života   ke   smutečnímu   obřadu   </w:t>
      </w:r>
      <w:r w:rsidR="00810581">
        <w:rPr>
          <w:sz w:val="24"/>
        </w:rPr>
        <w:t>nevyslovila, také</w:t>
      </w:r>
      <w:r>
        <w:rPr>
          <w:sz w:val="24"/>
        </w:rPr>
        <w:t xml:space="preserve">   v souladu   s projevenou vůlí osob uvedených v § 114 odst. 1 občanského</w:t>
      </w:r>
      <w:r>
        <w:rPr>
          <w:spacing w:val="-3"/>
          <w:sz w:val="24"/>
        </w:rPr>
        <w:t xml:space="preserve"> </w:t>
      </w:r>
      <w:r>
        <w:rPr>
          <w:sz w:val="24"/>
        </w:rPr>
        <w:t>zákoníku</w:t>
      </w:r>
    </w:p>
    <w:p w14:paraId="342E1BA6" w14:textId="77777777" w:rsidR="006C0C41" w:rsidRDefault="006C0C41">
      <w:pPr>
        <w:spacing w:line="266" w:lineRule="auto"/>
        <w:jc w:val="both"/>
        <w:rPr>
          <w:sz w:val="24"/>
        </w:rPr>
        <w:sectPr w:rsidR="006C0C41">
          <w:pgSz w:w="11900" w:h="16840"/>
          <w:pgMar w:top="1340" w:right="1300" w:bottom="980" w:left="1300" w:header="0" w:footer="783" w:gutter="0"/>
          <w:cols w:space="708"/>
        </w:sectPr>
      </w:pPr>
    </w:p>
    <w:p w14:paraId="67E76E2B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before="70" w:line="266" w:lineRule="auto"/>
        <w:ind w:right="122"/>
        <w:jc w:val="both"/>
        <w:rPr>
          <w:sz w:val="24"/>
        </w:rPr>
      </w:pPr>
      <w:r w:rsidRPr="00562F53">
        <w:rPr>
          <w:sz w:val="24"/>
        </w:rPr>
        <w:lastRenderedPageBreak/>
        <w:t>ukládat dokumenty související s evidencí pohřebiště a jednotlivých hrobových míst</w:t>
      </w:r>
      <w:r>
        <w:rPr>
          <w:sz w:val="24"/>
        </w:rPr>
        <w:t xml:space="preserve"> do spisovny dle spisového řádu a spisového a skartačního plánu</w:t>
      </w:r>
      <w:r>
        <w:rPr>
          <w:spacing w:val="-12"/>
          <w:sz w:val="24"/>
        </w:rPr>
        <w:t xml:space="preserve"> </w:t>
      </w:r>
      <w:r>
        <w:rPr>
          <w:sz w:val="24"/>
        </w:rPr>
        <w:t>obce</w:t>
      </w:r>
    </w:p>
    <w:p w14:paraId="347A50AC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before="81" w:line="266" w:lineRule="auto"/>
        <w:ind w:right="119"/>
        <w:jc w:val="both"/>
        <w:rPr>
          <w:sz w:val="24"/>
        </w:rPr>
      </w:pPr>
      <w:r>
        <w:rPr>
          <w:sz w:val="24"/>
        </w:rPr>
        <w:t>umožnit oprávněným osobám manipulaci se zetlelými, nezetlelými i zpopelněnými lidskými ostatky v rámci pohřebiště nebo provedení exhumace za podmínek stanovených zákonem o pohřebnictví a tímto</w:t>
      </w:r>
      <w:r>
        <w:rPr>
          <w:spacing w:val="-1"/>
          <w:sz w:val="24"/>
        </w:rPr>
        <w:t xml:space="preserve"> </w:t>
      </w:r>
      <w:r>
        <w:rPr>
          <w:sz w:val="24"/>
        </w:rPr>
        <w:t>Řádem</w:t>
      </w:r>
    </w:p>
    <w:p w14:paraId="5375A349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before="77" w:line="266" w:lineRule="auto"/>
        <w:ind w:right="120"/>
        <w:jc w:val="both"/>
        <w:rPr>
          <w:sz w:val="24"/>
        </w:rPr>
      </w:pPr>
      <w:r>
        <w:rPr>
          <w:sz w:val="24"/>
        </w:rPr>
        <w:t>písemně upozornit nájemce na skončení sjednané doby nájmu nejméně 90 dnů před jejím skončením (není-li mu trvalý pobyt nebo sídlo nájemce znám, uveřejní tuto informaci na vývěsce v areálu hřbitova nejméně 60 dnů před skončením sjednané doby</w:t>
      </w:r>
      <w:r>
        <w:rPr>
          <w:spacing w:val="-6"/>
          <w:sz w:val="24"/>
        </w:rPr>
        <w:t xml:space="preserve"> </w:t>
      </w:r>
      <w:r>
        <w:rPr>
          <w:sz w:val="24"/>
        </w:rPr>
        <w:t>nájmu)</w:t>
      </w:r>
    </w:p>
    <w:p w14:paraId="63060853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2"/>
        </w:tabs>
        <w:spacing w:before="78" w:line="266" w:lineRule="auto"/>
        <w:ind w:right="117"/>
        <w:jc w:val="both"/>
        <w:rPr>
          <w:sz w:val="24"/>
        </w:rPr>
      </w:pPr>
      <w:r>
        <w:rPr>
          <w:sz w:val="24"/>
        </w:rPr>
        <w:t xml:space="preserve">během doby trvání nájmu zajistit k hrobovému místu přístup a zdržet se jakýchkoliv zásahů do hrobového místa, s výjimkou případů, kdy je nezbytné bezodkladně zajistit bezpečný provoz pohřebiště, mimo kopání hrobů nebo opravy hrobových zařízení v </w:t>
      </w:r>
      <w:r w:rsidR="00810581">
        <w:rPr>
          <w:sz w:val="24"/>
        </w:rPr>
        <w:t>sousedství,</w:t>
      </w:r>
      <w:r>
        <w:rPr>
          <w:sz w:val="24"/>
        </w:rPr>
        <w:t xml:space="preserve"> avšak jen na dobu nezbytně</w:t>
      </w:r>
      <w:r>
        <w:rPr>
          <w:spacing w:val="-4"/>
          <w:sz w:val="24"/>
        </w:rPr>
        <w:t xml:space="preserve"> </w:t>
      </w:r>
      <w:r>
        <w:rPr>
          <w:sz w:val="24"/>
        </w:rPr>
        <w:t>nutnou</w:t>
      </w:r>
      <w:r w:rsidR="008728B1">
        <w:rPr>
          <w:sz w:val="24"/>
        </w:rPr>
        <w:t>.</w:t>
      </w:r>
    </w:p>
    <w:p w14:paraId="797A4C10" w14:textId="77777777" w:rsidR="00562F53" w:rsidRPr="00810581" w:rsidRDefault="00562F53" w:rsidP="00562F53">
      <w:pPr>
        <w:pStyle w:val="Odstavecseseznamem"/>
        <w:numPr>
          <w:ilvl w:val="1"/>
          <w:numId w:val="5"/>
        </w:numPr>
        <w:tabs>
          <w:tab w:val="left" w:pos="1182"/>
        </w:tabs>
        <w:spacing w:before="78" w:line="264" w:lineRule="auto"/>
        <w:ind w:right="117"/>
        <w:rPr>
          <w:sz w:val="26"/>
        </w:rPr>
      </w:pPr>
      <w:r w:rsidRPr="00810581">
        <w:rPr>
          <w:color w:val="000000"/>
          <w:sz w:val="24"/>
          <w:szCs w:val="24"/>
        </w:rPr>
        <w:t>Vyřizovat stížnosti včetně reklamací souvisejících s provozem a správou pohřebiště. Stížnosti vyřizuje provozova</w:t>
      </w:r>
      <w:r w:rsidR="008728B1" w:rsidRPr="00810581">
        <w:rPr>
          <w:color w:val="000000"/>
          <w:sz w:val="24"/>
          <w:szCs w:val="24"/>
        </w:rPr>
        <w:t>tel pohřebiště Obec Košice.</w:t>
      </w:r>
    </w:p>
    <w:p w14:paraId="63C501F0" w14:textId="77777777" w:rsidR="006C0C41" w:rsidRPr="00101B6F" w:rsidRDefault="00562F53" w:rsidP="00810581">
      <w:pPr>
        <w:pStyle w:val="Odstavecseseznamem"/>
        <w:widowControl/>
        <w:numPr>
          <w:ilvl w:val="1"/>
          <w:numId w:val="5"/>
        </w:numPr>
        <w:adjustRightInd w:val="0"/>
        <w:spacing w:before="0" w:after="267"/>
        <w:contextualSpacing/>
        <w:rPr>
          <w:sz w:val="26"/>
        </w:rPr>
      </w:pPr>
      <w:r w:rsidRPr="008728B1">
        <w:rPr>
          <w:rFonts w:asciiTheme="minorHAnsi" w:hAnsiTheme="minorHAnsi"/>
          <w:color w:val="000000"/>
          <w:sz w:val="24"/>
          <w:szCs w:val="24"/>
        </w:rPr>
        <w:t xml:space="preserve">Všem </w:t>
      </w:r>
      <w:r w:rsidR="00810581" w:rsidRPr="008728B1">
        <w:rPr>
          <w:rFonts w:asciiTheme="minorHAnsi" w:hAnsiTheme="minorHAnsi"/>
          <w:color w:val="000000"/>
          <w:sz w:val="24"/>
          <w:szCs w:val="24"/>
        </w:rPr>
        <w:t>osobám – zájemcům</w:t>
      </w:r>
      <w:r w:rsidRPr="008728B1">
        <w:rPr>
          <w:rFonts w:asciiTheme="minorHAnsi" w:hAnsiTheme="minorHAnsi"/>
          <w:color w:val="000000"/>
          <w:sz w:val="24"/>
          <w:szCs w:val="24"/>
        </w:rPr>
        <w:t xml:space="preserve"> o nájem stanovit stejné podmínky pro sjednání nájmu dle typu hrobového místa. </w:t>
      </w:r>
    </w:p>
    <w:p w14:paraId="17E84568" w14:textId="77777777" w:rsidR="006C0C41" w:rsidRDefault="00D55382">
      <w:pPr>
        <w:pStyle w:val="Odstavecseseznamem"/>
        <w:numPr>
          <w:ilvl w:val="0"/>
          <w:numId w:val="5"/>
        </w:numPr>
        <w:tabs>
          <w:tab w:val="left" w:pos="810"/>
        </w:tabs>
        <w:spacing w:before="165"/>
        <w:ind w:hanging="349"/>
        <w:jc w:val="both"/>
        <w:rPr>
          <w:sz w:val="24"/>
        </w:rPr>
      </w:pPr>
      <w:r>
        <w:rPr>
          <w:sz w:val="24"/>
        </w:rPr>
        <w:t>Provozovatel pohřebiště poskytuje zejména tyto</w:t>
      </w:r>
      <w:r>
        <w:rPr>
          <w:spacing w:val="-5"/>
          <w:sz w:val="24"/>
        </w:rPr>
        <w:t xml:space="preserve"> </w:t>
      </w:r>
      <w:r w:rsidR="00A150D4">
        <w:rPr>
          <w:spacing w:val="-5"/>
          <w:sz w:val="24"/>
        </w:rPr>
        <w:t xml:space="preserve">základní </w:t>
      </w:r>
      <w:r>
        <w:rPr>
          <w:sz w:val="24"/>
        </w:rPr>
        <w:t>služby:</w:t>
      </w:r>
    </w:p>
    <w:p w14:paraId="44BB6BDD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111"/>
        <w:ind w:left="1184"/>
        <w:jc w:val="both"/>
        <w:rPr>
          <w:sz w:val="24"/>
        </w:rPr>
      </w:pPr>
      <w:r>
        <w:rPr>
          <w:sz w:val="24"/>
        </w:rPr>
        <w:t>nájem místa pro hroby, hrobky, urnová místa a místa v kolumbáriu (dále</w:t>
      </w:r>
      <w:r>
        <w:rPr>
          <w:spacing w:val="54"/>
          <w:sz w:val="24"/>
        </w:rPr>
        <w:t xml:space="preserve"> </w:t>
      </w:r>
      <w:r>
        <w:rPr>
          <w:sz w:val="24"/>
        </w:rPr>
        <w:t>jen</w:t>
      </w:r>
    </w:p>
    <w:p w14:paraId="6525E941" w14:textId="77777777" w:rsidR="006C0C41" w:rsidRDefault="00D55382">
      <w:pPr>
        <w:pStyle w:val="Zkladntext"/>
        <w:spacing w:before="31"/>
        <w:ind w:left="1184"/>
      </w:pPr>
      <w:r>
        <w:t>„hrobová místa“)</w:t>
      </w:r>
    </w:p>
    <w:p w14:paraId="7A7258FF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108"/>
        <w:ind w:left="1184"/>
        <w:jc w:val="both"/>
        <w:rPr>
          <w:sz w:val="24"/>
        </w:rPr>
      </w:pPr>
      <w:r>
        <w:rPr>
          <w:sz w:val="24"/>
        </w:rPr>
        <w:t>správu a údržbu pohřebiště včetně inženýrských sítí, zeleně a</w:t>
      </w:r>
      <w:r>
        <w:rPr>
          <w:spacing w:val="-9"/>
          <w:sz w:val="24"/>
        </w:rPr>
        <w:t xml:space="preserve"> </w:t>
      </w:r>
      <w:r>
        <w:rPr>
          <w:sz w:val="24"/>
        </w:rPr>
        <w:t>oplocení</w:t>
      </w:r>
    </w:p>
    <w:p w14:paraId="0FCD2E8B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110" w:line="266" w:lineRule="auto"/>
        <w:ind w:left="1184" w:right="121"/>
        <w:jc w:val="both"/>
        <w:rPr>
          <w:sz w:val="24"/>
        </w:rPr>
      </w:pPr>
      <w:r>
        <w:rPr>
          <w:sz w:val="24"/>
        </w:rPr>
        <w:t>údržbu chodníků a zpevněných ploch, zajišťování sběru, odvozu a likvidace odpadů</w:t>
      </w:r>
    </w:p>
    <w:p w14:paraId="4D7F405E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line="266" w:lineRule="auto"/>
        <w:ind w:left="1184" w:right="122"/>
        <w:jc w:val="both"/>
        <w:rPr>
          <w:sz w:val="24"/>
        </w:rPr>
      </w:pPr>
      <w:r>
        <w:rPr>
          <w:sz w:val="24"/>
        </w:rPr>
        <w:t>spravování a udržování majetku obce v areálu pohřebiště (márnice, kolumbárium, hlavní kříž, vývěska, lavičky, nádrž na</w:t>
      </w:r>
      <w:r>
        <w:rPr>
          <w:spacing w:val="-2"/>
          <w:sz w:val="24"/>
        </w:rPr>
        <w:t xml:space="preserve"> </w:t>
      </w:r>
      <w:r>
        <w:rPr>
          <w:sz w:val="24"/>
        </w:rPr>
        <w:t>vodu)</w:t>
      </w:r>
    </w:p>
    <w:p w14:paraId="25D546FE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81" w:line="264" w:lineRule="auto"/>
        <w:ind w:left="1184" w:right="119"/>
        <w:jc w:val="both"/>
        <w:rPr>
          <w:sz w:val="24"/>
        </w:rPr>
      </w:pPr>
      <w:r>
        <w:rPr>
          <w:sz w:val="24"/>
        </w:rPr>
        <w:t>zveřejňování informací na vývěsce v prostorách pohřebiště pro potřeby veřejnosti (umístění reklam je dovoleno pouze ve vývěsce provozovatele pohřebiště jeho prostřednictvím – dle</w:t>
      </w:r>
      <w:r>
        <w:rPr>
          <w:spacing w:val="-2"/>
          <w:sz w:val="24"/>
        </w:rPr>
        <w:t xml:space="preserve"> </w:t>
      </w:r>
      <w:r>
        <w:rPr>
          <w:sz w:val="24"/>
        </w:rPr>
        <w:t>ceníku)</w:t>
      </w:r>
    </w:p>
    <w:p w14:paraId="021146E2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85" w:line="266" w:lineRule="auto"/>
        <w:ind w:left="1184" w:right="121"/>
        <w:jc w:val="both"/>
        <w:rPr>
          <w:sz w:val="24"/>
        </w:rPr>
      </w:pPr>
      <w:r>
        <w:rPr>
          <w:sz w:val="24"/>
        </w:rPr>
        <w:t>vedení evidence související s provozováním pohřebiště formou vázané knihy a elektronicky</w:t>
      </w:r>
    </w:p>
    <w:p w14:paraId="6BD8FFF3" w14:textId="77777777" w:rsidR="006C0C41" w:rsidRDefault="00D55382">
      <w:pPr>
        <w:pStyle w:val="Odstavecseseznamem"/>
        <w:numPr>
          <w:ilvl w:val="1"/>
          <w:numId w:val="5"/>
        </w:numPr>
        <w:tabs>
          <w:tab w:val="left" w:pos="1184"/>
        </w:tabs>
        <w:spacing w:before="81" w:line="264" w:lineRule="auto"/>
        <w:ind w:left="1183" w:right="117"/>
        <w:jc w:val="both"/>
        <w:rPr>
          <w:sz w:val="24"/>
        </w:rPr>
      </w:pPr>
      <w:r>
        <w:rPr>
          <w:sz w:val="24"/>
        </w:rPr>
        <w:t>přípravu volných hrobových míst k pronájmu s ohledem k již existujícím tak, aby vznikly ucelené řady či skupiny hrobových míst stejného charakteru a</w:t>
      </w:r>
      <w:r>
        <w:rPr>
          <w:spacing w:val="-20"/>
          <w:sz w:val="24"/>
        </w:rPr>
        <w:t xml:space="preserve"> </w:t>
      </w:r>
      <w:r>
        <w:rPr>
          <w:sz w:val="24"/>
        </w:rPr>
        <w:t>rozměrů</w:t>
      </w:r>
      <w:r w:rsidR="00101B6F">
        <w:rPr>
          <w:sz w:val="24"/>
        </w:rPr>
        <w:t>.</w:t>
      </w:r>
    </w:p>
    <w:p w14:paraId="7EE001CA" w14:textId="77777777" w:rsidR="006C0C41" w:rsidRDefault="00BA3739">
      <w:pPr>
        <w:pStyle w:val="Odstavecseseznamem"/>
        <w:numPr>
          <w:ilvl w:val="0"/>
          <w:numId w:val="5"/>
        </w:numPr>
        <w:tabs>
          <w:tab w:val="left" w:pos="810"/>
        </w:tabs>
        <w:spacing w:before="84" w:line="266" w:lineRule="auto"/>
        <w:ind w:right="114"/>
        <w:jc w:val="both"/>
        <w:rPr>
          <w:sz w:val="24"/>
        </w:rPr>
      </w:pPr>
      <w:r>
        <w:rPr>
          <w:sz w:val="24"/>
        </w:rPr>
        <w:t>Na pohřebišti obce Košice</w:t>
      </w:r>
      <w:r w:rsidR="00D55382">
        <w:rPr>
          <w:sz w:val="24"/>
        </w:rPr>
        <w:t xml:space="preserve"> jsou poskytovány doplňkové služby, které nejsou započítány do ceny nájmu, jako např. manipulace se zetlelými, nezetlelými i zpopelněnými lidskými ostatky v rámci pohřebiště, výkopové práce související s pohřbením nebo exhumací, pohřbívání, provádění exhumací a ukládání lidských ostatků. Tyto doplňkové služby jsou zajišťovány prostřednictvím jiné právnické osoby nebo podnikající fyzické osoby (pohřební služby). Kamenické práce sjednává nájemce na vlastní náklady u kamenických firem se souhlasem vlastníka hrobového</w:t>
      </w:r>
      <w:r w:rsidR="00D55382">
        <w:rPr>
          <w:spacing w:val="-12"/>
          <w:sz w:val="24"/>
        </w:rPr>
        <w:t xml:space="preserve"> </w:t>
      </w:r>
      <w:r w:rsidR="00D55382">
        <w:rPr>
          <w:sz w:val="24"/>
        </w:rPr>
        <w:t>zařízení.</w:t>
      </w:r>
    </w:p>
    <w:p w14:paraId="72B1A488" w14:textId="77777777" w:rsidR="006C0C41" w:rsidRDefault="00D55382">
      <w:pPr>
        <w:pStyle w:val="Odstavecseseznamem"/>
        <w:numPr>
          <w:ilvl w:val="0"/>
          <w:numId w:val="5"/>
        </w:numPr>
        <w:tabs>
          <w:tab w:val="left" w:pos="810"/>
        </w:tabs>
        <w:spacing w:before="76" w:line="266" w:lineRule="auto"/>
        <w:ind w:right="120"/>
        <w:jc w:val="both"/>
        <w:rPr>
          <w:sz w:val="24"/>
        </w:rPr>
      </w:pPr>
      <w:r>
        <w:rPr>
          <w:sz w:val="24"/>
        </w:rPr>
        <w:t xml:space="preserve">Všichni zemřelí nezávisle na místě úmrtí mohou být na tomto veřejném pohřebišti pohřbeni, ale pouze se souhlasem provozovatele pohřebiště. Nejméně den před přijetím lidských pozůstatků je potřeba předat provozovateli pohřebiště </w:t>
      </w:r>
      <w:r w:rsidR="00810581">
        <w:rPr>
          <w:sz w:val="24"/>
        </w:rPr>
        <w:t>kopii Listu</w:t>
      </w:r>
      <w:r>
        <w:rPr>
          <w:sz w:val="24"/>
        </w:rPr>
        <w:t xml:space="preserve">    o prohlídce zemřelého, kterou uloží minimálně po tlecí dobu v příslušné</w:t>
      </w:r>
      <w:r>
        <w:rPr>
          <w:spacing w:val="-14"/>
          <w:sz w:val="24"/>
        </w:rPr>
        <w:t xml:space="preserve"> </w:t>
      </w:r>
      <w:r>
        <w:rPr>
          <w:sz w:val="24"/>
        </w:rPr>
        <w:t>evidenci.</w:t>
      </w:r>
    </w:p>
    <w:p w14:paraId="2401E2E1" w14:textId="77777777" w:rsidR="006C0C41" w:rsidRDefault="006C0C41">
      <w:pPr>
        <w:spacing w:line="266" w:lineRule="auto"/>
        <w:jc w:val="both"/>
        <w:rPr>
          <w:sz w:val="24"/>
        </w:rPr>
        <w:sectPr w:rsidR="006C0C41">
          <w:pgSz w:w="11900" w:h="16840"/>
          <w:pgMar w:top="1340" w:right="1300" w:bottom="980" w:left="1300" w:header="0" w:footer="783" w:gutter="0"/>
          <w:cols w:space="708"/>
        </w:sectPr>
      </w:pPr>
    </w:p>
    <w:p w14:paraId="776993BF" w14:textId="77777777" w:rsidR="006C0C41" w:rsidRDefault="00D55382">
      <w:pPr>
        <w:pStyle w:val="Nadpis11"/>
        <w:spacing w:before="74"/>
      </w:pPr>
      <w:r>
        <w:lastRenderedPageBreak/>
        <w:t>Článek č. 4</w:t>
      </w:r>
    </w:p>
    <w:p w14:paraId="28560791" w14:textId="77777777" w:rsidR="006C0C41" w:rsidRDefault="00D55382">
      <w:pPr>
        <w:spacing w:before="2"/>
        <w:ind w:left="624" w:right="623"/>
        <w:jc w:val="center"/>
        <w:rPr>
          <w:b/>
          <w:sz w:val="28"/>
        </w:rPr>
      </w:pPr>
      <w:r>
        <w:rPr>
          <w:b/>
          <w:sz w:val="28"/>
        </w:rPr>
        <w:t>Nájem hrobového místa, povinnosti nájemce</w:t>
      </w:r>
    </w:p>
    <w:p w14:paraId="076CFEDA" w14:textId="77777777" w:rsidR="006C0C41" w:rsidRDefault="006C0C41">
      <w:pPr>
        <w:pStyle w:val="Zkladntext"/>
        <w:spacing w:before="6"/>
        <w:jc w:val="left"/>
        <w:rPr>
          <w:b/>
          <w:sz w:val="30"/>
        </w:rPr>
      </w:pPr>
    </w:p>
    <w:p w14:paraId="7B799502" w14:textId="77777777" w:rsidR="006C0C41" w:rsidRDefault="00D55382">
      <w:pPr>
        <w:pStyle w:val="Odstavecseseznamem"/>
        <w:numPr>
          <w:ilvl w:val="0"/>
          <w:numId w:val="4"/>
        </w:numPr>
        <w:tabs>
          <w:tab w:val="left" w:pos="836"/>
        </w:tabs>
        <w:spacing w:before="0"/>
        <w:ind w:right="105" w:hanging="356"/>
        <w:jc w:val="both"/>
        <w:rPr>
          <w:sz w:val="24"/>
        </w:rPr>
      </w:pPr>
      <w:r>
        <w:rPr>
          <w:sz w:val="24"/>
        </w:rPr>
        <w:t>Nájem hrobového místa (dále jen „nájem“) vzniká na základě smlouvy o nájmu hrobového místa (dále jen „smlouva“) uzavřené mezi provozovatelem pohřebiště jako pronajímatelem a nájemcem (žádost o nájem má písemnou podobu). Smlouva o nájmu musí mít písemnou formu a musí mimo jiné obsahovat označení smluvních stran, určení druhu hrobového místa, jeho rozměry, výši nájemného a výši úhrady za služby spojené s nájmem. Výše nájemného a ceny služeb spojených s nájmem jsou stanoveny v ceníku schváleném zastupitelstvem obce</w:t>
      </w:r>
      <w:r>
        <w:rPr>
          <w:spacing w:val="-2"/>
          <w:sz w:val="24"/>
        </w:rPr>
        <w:t xml:space="preserve"> </w:t>
      </w:r>
      <w:r w:rsidR="00BA3739">
        <w:rPr>
          <w:sz w:val="24"/>
        </w:rPr>
        <w:t>Košice</w:t>
      </w:r>
      <w:r>
        <w:rPr>
          <w:sz w:val="24"/>
        </w:rPr>
        <w:t>.</w:t>
      </w:r>
    </w:p>
    <w:p w14:paraId="02566730" w14:textId="77777777" w:rsidR="006C0C41" w:rsidRDefault="00D55382">
      <w:pPr>
        <w:pStyle w:val="Odstavecseseznamem"/>
        <w:numPr>
          <w:ilvl w:val="0"/>
          <w:numId w:val="4"/>
        </w:numPr>
        <w:tabs>
          <w:tab w:val="left" w:pos="836"/>
        </w:tabs>
        <w:spacing w:before="82"/>
        <w:ind w:right="108" w:hanging="356"/>
        <w:jc w:val="both"/>
        <w:rPr>
          <w:b/>
          <w:sz w:val="24"/>
        </w:rPr>
      </w:pPr>
      <w:r>
        <w:rPr>
          <w:b/>
          <w:sz w:val="24"/>
        </w:rPr>
        <w:t xml:space="preserve">Nájemce je povinen poskytnout provozovateli pohřebiště údaje potřebné pro uzavření smlouvy </w:t>
      </w:r>
      <w:r>
        <w:rPr>
          <w:sz w:val="24"/>
        </w:rPr>
        <w:t xml:space="preserve">(jméno, příjmení, adresu, datum narození a údaje o náhradní kontaktní osobě, údaje o vlastníkovi hrobového zařízení, je-li nájemci znám; dobrovolné údaje – telefonní číslo, e-mail aj.) </w:t>
      </w:r>
      <w:r>
        <w:rPr>
          <w:b/>
          <w:sz w:val="24"/>
        </w:rPr>
        <w:t>a další údaje pro vedení evidence související s provozováním veřejného pohřebiště dle § 21 zákona o pohřebnictví. Změny těchto údajů je nájemce povinen bez zbytečného odkladu provozovateli pohřebiště písemně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oznámit.</w:t>
      </w:r>
    </w:p>
    <w:p w14:paraId="47C160D9" w14:textId="77777777" w:rsidR="006C0C41" w:rsidRDefault="00D55382">
      <w:pPr>
        <w:pStyle w:val="Odstavecseseznamem"/>
        <w:numPr>
          <w:ilvl w:val="0"/>
          <w:numId w:val="4"/>
        </w:numPr>
        <w:tabs>
          <w:tab w:val="left" w:pos="836"/>
        </w:tabs>
        <w:spacing w:before="77"/>
        <w:ind w:right="109" w:hanging="356"/>
        <w:jc w:val="both"/>
        <w:rPr>
          <w:sz w:val="24"/>
        </w:rPr>
      </w:pPr>
      <w:r>
        <w:rPr>
          <w:sz w:val="24"/>
        </w:rPr>
        <w:t>V případě, že se jedná o nájem hrobového místa v podobě hrobu, musí být doba, na niž se smlouva o nájmu uzavírá, stanovena tak, aby od pohřbení mohla být dodržena tlecí doba stanovená v článku 6 tohoto Řádu. Nájem hrobových míst se sjednává zpravidla na 10 let, po uplynutí této lhůty je možné smlouvu o nájmu prodloužit (na základě písemné žádosti o prodloužení). Nájem lze sjednat i na dobu předcházející pohřbení nebo uložení</w:t>
      </w:r>
      <w:r>
        <w:rPr>
          <w:spacing w:val="-1"/>
          <w:sz w:val="24"/>
        </w:rPr>
        <w:t xml:space="preserve"> </w:t>
      </w:r>
      <w:r>
        <w:rPr>
          <w:sz w:val="24"/>
        </w:rPr>
        <w:t>urny.</w:t>
      </w:r>
    </w:p>
    <w:p w14:paraId="60AD3874" w14:textId="77777777" w:rsidR="006C0C41" w:rsidRDefault="00D55382">
      <w:pPr>
        <w:pStyle w:val="Odstavecseseznamem"/>
        <w:numPr>
          <w:ilvl w:val="0"/>
          <w:numId w:val="4"/>
        </w:numPr>
        <w:tabs>
          <w:tab w:val="left" w:pos="836"/>
        </w:tabs>
        <w:ind w:right="111" w:hanging="356"/>
        <w:jc w:val="both"/>
        <w:rPr>
          <w:sz w:val="24"/>
        </w:rPr>
      </w:pPr>
      <w:r>
        <w:rPr>
          <w:sz w:val="24"/>
        </w:rPr>
        <w:t xml:space="preserve">Právo nájmu hrobového místa přechází na osobu, kterou zemřelý nájemce určil, popřípadě na svěřenecký fond určený nájemcem. Je-li nájemcem fyzická osoba a </w:t>
      </w:r>
      <w:r w:rsidR="00D733E5">
        <w:rPr>
          <w:sz w:val="24"/>
        </w:rPr>
        <w:t>není – li</w:t>
      </w:r>
      <w:r>
        <w:rPr>
          <w:sz w:val="24"/>
        </w:rPr>
        <w:t xml:space="preserve"> přechod nájmu na určenou osobu možný, anebo neurčil-li nájemce nikoho, přechází právo nájmu na dědice</w:t>
      </w:r>
      <w:r>
        <w:rPr>
          <w:spacing w:val="-13"/>
          <w:sz w:val="24"/>
        </w:rPr>
        <w:t xml:space="preserve"> </w:t>
      </w:r>
      <w:r>
        <w:rPr>
          <w:sz w:val="24"/>
        </w:rPr>
        <w:t>zemřelého.</w:t>
      </w:r>
    </w:p>
    <w:p w14:paraId="705B9FE4" w14:textId="77777777" w:rsidR="006C0C41" w:rsidRDefault="00D55382">
      <w:pPr>
        <w:pStyle w:val="Odstavecseseznamem"/>
        <w:numPr>
          <w:ilvl w:val="0"/>
          <w:numId w:val="4"/>
        </w:numPr>
        <w:tabs>
          <w:tab w:val="left" w:pos="836"/>
        </w:tabs>
        <w:spacing w:before="84" w:line="242" w:lineRule="auto"/>
        <w:ind w:right="110" w:hanging="356"/>
        <w:jc w:val="both"/>
        <w:rPr>
          <w:b/>
          <w:sz w:val="24"/>
        </w:rPr>
      </w:pPr>
      <w:r>
        <w:rPr>
          <w:b/>
          <w:sz w:val="24"/>
        </w:rPr>
        <w:t>Nájemce je povinen vlastním nákladem zajišťovat údržbu pronajatého hrobového místa v následujícím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rozsahu:</w:t>
      </w:r>
    </w:p>
    <w:p w14:paraId="0611E14C" w14:textId="77777777" w:rsidR="006C0C41" w:rsidRDefault="00D55382">
      <w:pPr>
        <w:pStyle w:val="Odstavecseseznamem"/>
        <w:numPr>
          <w:ilvl w:val="1"/>
          <w:numId w:val="4"/>
        </w:numPr>
        <w:tabs>
          <w:tab w:val="left" w:pos="1196"/>
        </w:tabs>
        <w:spacing w:before="69" w:line="242" w:lineRule="auto"/>
        <w:ind w:right="105" w:hanging="361"/>
        <w:jc w:val="both"/>
        <w:rPr>
          <w:sz w:val="24"/>
        </w:rPr>
      </w:pPr>
      <w:r>
        <w:rPr>
          <w:sz w:val="24"/>
        </w:rPr>
        <w:t>nejpozději do 3 měsíců od pohřbení do hrobu zajistit úpravu pohřbívací plochy hrobového</w:t>
      </w:r>
      <w:r>
        <w:rPr>
          <w:spacing w:val="-1"/>
          <w:sz w:val="24"/>
        </w:rPr>
        <w:t xml:space="preserve"> </w:t>
      </w:r>
      <w:r>
        <w:rPr>
          <w:sz w:val="24"/>
        </w:rPr>
        <w:t>místa</w:t>
      </w:r>
    </w:p>
    <w:p w14:paraId="76FCD0A3" w14:textId="77777777" w:rsidR="006C0C41" w:rsidRDefault="00D55382">
      <w:pPr>
        <w:pStyle w:val="Odstavecseseznamem"/>
        <w:numPr>
          <w:ilvl w:val="1"/>
          <w:numId w:val="4"/>
        </w:numPr>
        <w:tabs>
          <w:tab w:val="left" w:pos="1196"/>
        </w:tabs>
        <w:spacing w:before="76"/>
        <w:ind w:left="1195" w:right="108"/>
        <w:jc w:val="both"/>
        <w:rPr>
          <w:sz w:val="24"/>
        </w:rPr>
      </w:pPr>
      <w:r>
        <w:rPr>
          <w:sz w:val="24"/>
        </w:rPr>
        <w:t>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</w:t>
      </w:r>
      <w:r>
        <w:rPr>
          <w:spacing w:val="-2"/>
          <w:sz w:val="24"/>
        </w:rPr>
        <w:t xml:space="preserve"> </w:t>
      </w:r>
      <w:r>
        <w:rPr>
          <w:sz w:val="24"/>
        </w:rPr>
        <w:t>osob</w:t>
      </w:r>
    </w:p>
    <w:p w14:paraId="5BDCE79D" w14:textId="77777777" w:rsidR="006C0C41" w:rsidRDefault="00D55382">
      <w:pPr>
        <w:pStyle w:val="Odstavecseseznamem"/>
        <w:numPr>
          <w:ilvl w:val="1"/>
          <w:numId w:val="4"/>
        </w:numPr>
        <w:tabs>
          <w:tab w:val="left" w:pos="1196"/>
        </w:tabs>
        <w:spacing w:line="242" w:lineRule="auto"/>
        <w:ind w:right="111" w:hanging="361"/>
        <w:jc w:val="both"/>
        <w:rPr>
          <w:sz w:val="24"/>
        </w:rPr>
      </w:pPr>
      <w:r>
        <w:rPr>
          <w:sz w:val="24"/>
        </w:rPr>
        <w:t>odstranit včas znehodnocené květinové a jiné dary, odpad z vyhořelých svíček a další předměty, které narušují estetický vzhled</w:t>
      </w:r>
      <w:r>
        <w:rPr>
          <w:spacing w:val="-7"/>
          <w:sz w:val="24"/>
        </w:rPr>
        <w:t xml:space="preserve"> </w:t>
      </w:r>
      <w:r>
        <w:rPr>
          <w:sz w:val="24"/>
        </w:rPr>
        <w:t>pohřebiště</w:t>
      </w:r>
    </w:p>
    <w:p w14:paraId="44AE492D" w14:textId="77777777" w:rsidR="006C0C41" w:rsidRDefault="00D55382">
      <w:pPr>
        <w:pStyle w:val="Odstavecseseznamem"/>
        <w:numPr>
          <w:ilvl w:val="1"/>
          <w:numId w:val="4"/>
        </w:numPr>
        <w:tabs>
          <w:tab w:val="left" w:pos="1196"/>
        </w:tabs>
        <w:spacing w:before="74"/>
        <w:ind w:left="1195" w:right="106"/>
        <w:jc w:val="both"/>
        <w:rPr>
          <w:sz w:val="24"/>
        </w:rPr>
      </w:pPr>
      <w:r>
        <w:rPr>
          <w:sz w:val="24"/>
        </w:rPr>
        <w:t xml:space="preserve">neprodleně zajistit opravy hrobového </w:t>
      </w:r>
      <w:r w:rsidR="00D733E5">
        <w:rPr>
          <w:sz w:val="24"/>
        </w:rPr>
        <w:t>zařízení,</w:t>
      </w:r>
      <w:r>
        <w:rPr>
          <w:sz w:val="24"/>
        </w:rPr>
        <w:t xml:space="preserve"> pokud je narušena jeho stabilita a ohrožuje tak zdraví, životy nebo majetek dalších osob; pokud tak nájemce neučiní po uplynutí lhůty uvedené ve výzvě provozovatele pohřebiště, je tento oprávněn zajistit bezpečnost na náklady a riziko nájemce hrobového</w:t>
      </w:r>
      <w:r>
        <w:rPr>
          <w:spacing w:val="-8"/>
          <w:sz w:val="24"/>
        </w:rPr>
        <w:t xml:space="preserve"> </w:t>
      </w:r>
      <w:r>
        <w:rPr>
          <w:sz w:val="24"/>
        </w:rPr>
        <w:t>místa</w:t>
      </w:r>
    </w:p>
    <w:p w14:paraId="6D3A26B3" w14:textId="77777777" w:rsidR="006C0C41" w:rsidRDefault="00D55382">
      <w:pPr>
        <w:pStyle w:val="Odstavecseseznamem"/>
        <w:numPr>
          <w:ilvl w:val="1"/>
          <w:numId w:val="4"/>
        </w:numPr>
        <w:tabs>
          <w:tab w:val="left" w:pos="1196"/>
        </w:tabs>
        <w:spacing w:before="82"/>
        <w:ind w:left="1195" w:right="110"/>
        <w:jc w:val="both"/>
        <w:rPr>
          <w:sz w:val="24"/>
        </w:rPr>
      </w:pPr>
      <w:r>
        <w:rPr>
          <w:sz w:val="24"/>
        </w:rPr>
        <w:t>zajistit na vlastní náklady, nejpozději do dne ukončení nájmu hrobového místa, odstranění hrobového zařízení (mimo uložených lidských ostatků, ať zpopelněných nebo nezpopelněných), jinak s ním bude naloženo podle § 1050 zákona č. 89/2012 Sb., občanský zákoník, tedy jako s věcí</w:t>
      </w:r>
      <w:r>
        <w:rPr>
          <w:spacing w:val="-12"/>
          <w:sz w:val="24"/>
        </w:rPr>
        <w:t xml:space="preserve"> </w:t>
      </w:r>
      <w:r>
        <w:rPr>
          <w:sz w:val="24"/>
        </w:rPr>
        <w:t>opuštěnou</w:t>
      </w:r>
    </w:p>
    <w:p w14:paraId="6AEB9BAF" w14:textId="77777777" w:rsidR="006C0C41" w:rsidRDefault="006C0C41">
      <w:pPr>
        <w:jc w:val="both"/>
        <w:rPr>
          <w:sz w:val="24"/>
        </w:rPr>
        <w:sectPr w:rsidR="006C0C41">
          <w:pgSz w:w="11900" w:h="16840"/>
          <w:pgMar w:top="1340" w:right="1300" w:bottom="980" w:left="1300" w:header="0" w:footer="783" w:gutter="0"/>
          <w:cols w:space="708"/>
        </w:sectPr>
      </w:pPr>
    </w:p>
    <w:p w14:paraId="6BC06FC0" w14:textId="77777777" w:rsidR="006C0C41" w:rsidRPr="00D733E5" w:rsidRDefault="00A53D48">
      <w:pPr>
        <w:pStyle w:val="Odstavecseseznamem"/>
        <w:numPr>
          <w:ilvl w:val="0"/>
          <w:numId w:val="4"/>
        </w:numPr>
        <w:tabs>
          <w:tab w:val="left" w:pos="836"/>
        </w:tabs>
        <w:spacing w:before="72"/>
        <w:ind w:left="835" w:right="107" w:hanging="360"/>
        <w:jc w:val="both"/>
        <w:rPr>
          <w:bCs/>
          <w:sz w:val="24"/>
        </w:rPr>
      </w:pPr>
      <w:r w:rsidRPr="00D733E5">
        <w:rPr>
          <w:bCs/>
          <w:sz w:val="24"/>
        </w:rPr>
        <w:lastRenderedPageBreak/>
        <w:t>Ke zhotovení hrobky, náhrobku, hrobového zařízení na pohřebišti nebo při úpravě již existujících, je oprávněn pouze vlastník nebo jím zmocněná osoba po prokazatelném předchozím souhlasu nájemce hrobového místa a provozovatele pohřebiště za jím stanovených podmínek.</w:t>
      </w:r>
      <w:r w:rsidR="00D55382" w:rsidRPr="00D733E5">
        <w:rPr>
          <w:bCs/>
          <w:sz w:val="24"/>
        </w:rPr>
        <w:t xml:space="preserve"> Na základě oznámených změn hrobového zařízení bude s nájemcem uzavřen dodatek k nájemní smlouvě. Ihned po ukončení prací je nájemce povinen uvést hrobové místo a jeho okolí do řádného stavu, nejpozději však do 48 hodin. Toto ustanovení platí i pro likvidaci hrobového</w:t>
      </w:r>
      <w:r w:rsidR="00D55382" w:rsidRPr="00D733E5">
        <w:rPr>
          <w:bCs/>
          <w:spacing w:val="-7"/>
          <w:sz w:val="24"/>
        </w:rPr>
        <w:t xml:space="preserve"> </w:t>
      </w:r>
      <w:r w:rsidR="00D55382" w:rsidRPr="00D733E5">
        <w:rPr>
          <w:bCs/>
          <w:sz w:val="24"/>
        </w:rPr>
        <w:t>zařízení.</w:t>
      </w:r>
    </w:p>
    <w:p w14:paraId="508BF73C" w14:textId="77777777" w:rsidR="006C0C41" w:rsidRDefault="006C0C41">
      <w:pPr>
        <w:pStyle w:val="Zkladntext"/>
        <w:jc w:val="left"/>
        <w:rPr>
          <w:b/>
          <w:sz w:val="26"/>
        </w:rPr>
      </w:pPr>
    </w:p>
    <w:p w14:paraId="24989496" w14:textId="77777777" w:rsidR="006C0C41" w:rsidRDefault="006C0C41">
      <w:pPr>
        <w:pStyle w:val="Zkladntext"/>
        <w:spacing w:before="3"/>
        <w:jc w:val="left"/>
        <w:rPr>
          <w:b/>
          <w:sz w:val="29"/>
        </w:rPr>
      </w:pPr>
    </w:p>
    <w:p w14:paraId="0C890587" w14:textId="77777777" w:rsidR="006C0C41" w:rsidRDefault="00D55382">
      <w:pPr>
        <w:pStyle w:val="Nadpis11"/>
        <w:spacing w:line="322" w:lineRule="exact"/>
      </w:pPr>
      <w:r>
        <w:t>Článek č. 5</w:t>
      </w:r>
    </w:p>
    <w:p w14:paraId="7FA5C702" w14:textId="77777777" w:rsidR="006C0C41" w:rsidRDefault="00D55382">
      <w:pPr>
        <w:ind w:left="624" w:right="623"/>
        <w:jc w:val="center"/>
        <w:rPr>
          <w:b/>
          <w:sz w:val="28"/>
        </w:rPr>
      </w:pPr>
      <w:r>
        <w:rPr>
          <w:b/>
          <w:sz w:val="28"/>
        </w:rPr>
        <w:t>Ukládání lidských pozůstatků a jejich exhumace</w:t>
      </w:r>
    </w:p>
    <w:p w14:paraId="15D0960F" w14:textId="77777777" w:rsidR="006C0C41" w:rsidRDefault="006C0C41">
      <w:pPr>
        <w:pStyle w:val="Zkladntext"/>
        <w:spacing w:before="6"/>
        <w:jc w:val="left"/>
        <w:rPr>
          <w:b/>
          <w:sz w:val="30"/>
        </w:rPr>
      </w:pPr>
    </w:p>
    <w:p w14:paraId="7E197A83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0"/>
        <w:ind w:right="110" w:hanging="356"/>
        <w:jc w:val="both"/>
        <w:rPr>
          <w:sz w:val="24"/>
        </w:rPr>
      </w:pPr>
      <w:r>
        <w:rPr>
          <w:sz w:val="24"/>
        </w:rPr>
        <w:t>Otevřít hrob nebo hrobku na pohřebišti a ukládat do nich lidské pozůstatky je oprávněn pouze provozovatel pohřebiště nebo provozovatel pohřební služby, který na základě smlouvy s vypravitelem pohřbu hodlá na pohřebišti pohřbít lidské pozůstatky, a to po předchozím oznámení provozovateli pohřebiště, kterému předloží doklad o oprávnění k podnikatelské činnosti v oblasti provozování pohřební služby a o oprávněnosti vykonávat podnikatelskou činnost technické služby – práce při kopání hrobů na pohřebištích (výpis z živnostenského rejstříku). Obdobně to platí i pro provádění prací spojených se zajišťováním exhumací a přijímání nezpopelněných lidských ostatků. Kopie předložených dokladů si provozovatel uloží ve své</w:t>
      </w:r>
      <w:r>
        <w:rPr>
          <w:spacing w:val="-14"/>
          <w:sz w:val="24"/>
        </w:rPr>
        <w:t xml:space="preserve"> </w:t>
      </w:r>
      <w:r>
        <w:rPr>
          <w:sz w:val="24"/>
        </w:rPr>
        <w:t>evidenci.</w:t>
      </w:r>
    </w:p>
    <w:p w14:paraId="327DF538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ind w:right="110" w:hanging="356"/>
        <w:jc w:val="both"/>
        <w:rPr>
          <w:sz w:val="24"/>
        </w:rPr>
      </w:pPr>
      <w:r>
        <w:rPr>
          <w:sz w:val="24"/>
        </w:rPr>
        <w:t>Zpopelněné lidské ostatky je možné uložit na pohřebišti vždy jen se souhlasem nájemce hrobového místa a s vědomím provozovatel</w:t>
      </w:r>
      <w:r w:rsidR="00374EF1">
        <w:rPr>
          <w:sz w:val="24"/>
        </w:rPr>
        <w:t xml:space="preserve">e </w:t>
      </w:r>
      <w:r w:rsidR="00D733E5">
        <w:rPr>
          <w:sz w:val="24"/>
        </w:rPr>
        <w:t>pohřebiště,</w:t>
      </w:r>
      <w:r>
        <w:rPr>
          <w:sz w:val="24"/>
        </w:rPr>
        <w:t xml:space="preserve"> u hrobů zpravidla k nohám do niky, jinak v ochranném obalu. Obdobně to platí i pro manipulaci s nezpopelněnými a zpopelněnými ostatky v rámci</w:t>
      </w:r>
      <w:r>
        <w:rPr>
          <w:spacing w:val="-10"/>
          <w:sz w:val="24"/>
        </w:rPr>
        <w:t xml:space="preserve"> </w:t>
      </w:r>
      <w:r>
        <w:rPr>
          <w:sz w:val="24"/>
        </w:rPr>
        <w:t>pohřebiště.</w:t>
      </w:r>
    </w:p>
    <w:p w14:paraId="2535221D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80"/>
        <w:ind w:right="108" w:hanging="356"/>
        <w:jc w:val="both"/>
        <w:rPr>
          <w:sz w:val="24"/>
        </w:rPr>
      </w:pPr>
      <w:r>
        <w:rPr>
          <w:sz w:val="24"/>
        </w:rPr>
        <w:t>V době po úmrtí nájemce, má-li být tento uložen do hrobu, jehož byl nájemcem, zajistí provozovatel pohřebiště úhradu nájemného na dobu tlecí od vypravitele pohřbu nebo jiné zmocněné osoby. Nepožádá-li nikdo o uzavření nájemní smlouvy k předmětnému místu, zůstává toto hrobové místo po tlecí dobu bez nájemce s povinností provozovatele pohřebiště o toto místo</w:t>
      </w:r>
      <w:r>
        <w:rPr>
          <w:spacing w:val="-1"/>
          <w:sz w:val="24"/>
        </w:rPr>
        <w:t xml:space="preserve"> </w:t>
      </w:r>
      <w:r>
        <w:rPr>
          <w:sz w:val="24"/>
        </w:rPr>
        <w:t>pečovat.</w:t>
      </w:r>
    </w:p>
    <w:p w14:paraId="026A71EE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ind w:right="105" w:hanging="356"/>
        <w:jc w:val="both"/>
        <w:rPr>
          <w:sz w:val="24"/>
        </w:rPr>
      </w:pPr>
      <w:r>
        <w:rPr>
          <w:sz w:val="24"/>
        </w:rPr>
        <w:t xml:space="preserve">Nezpopelněné i zpopelněné lidské ostatky mohou být exhumovány, tj. přemístěny nebo převezeny na jiné pohřebiště, pouze na písemnou a odůvodněnou žádost nájemce hrobového místa a nájemce nového </w:t>
      </w:r>
      <w:r w:rsidR="00D733E5">
        <w:rPr>
          <w:sz w:val="24"/>
        </w:rPr>
        <w:t>hrobového místa</w:t>
      </w:r>
      <w:r>
        <w:rPr>
          <w:sz w:val="24"/>
        </w:rPr>
        <w:t xml:space="preserve"> na jiném pohřebišti, a to jen       s písemným souhlasem provozovatele pohřebiště. Převoz exhumovaných nezpopelněných lidských ostatků na jiné pohřebiště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předem objednán u provozovatele pohřební služby a objednávka k žádosti přiložena. Nájemce hrobového místa doloží k žádosti o exhumaci vždy skutečnost úmrtí podle § 22 odst. 2 zákona o pohřebnictví a písemný souhlas osoby uvedené v § 114 odst. 1 občanského zákoníku. Před exhumací nezetlelých lidských ostatků musí nájemce hrobového místa písemně požádat o souhlas také krajskou hygienickou</w:t>
      </w:r>
      <w:r>
        <w:rPr>
          <w:spacing w:val="-2"/>
          <w:sz w:val="24"/>
        </w:rPr>
        <w:t xml:space="preserve"> </w:t>
      </w:r>
      <w:r>
        <w:rPr>
          <w:sz w:val="24"/>
        </w:rPr>
        <w:t>stanici.</w:t>
      </w:r>
    </w:p>
    <w:p w14:paraId="48A15E33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80"/>
        <w:ind w:right="110" w:hanging="356"/>
        <w:jc w:val="both"/>
        <w:rPr>
          <w:sz w:val="24"/>
        </w:rPr>
      </w:pPr>
      <w:r>
        <w:rPr>
          <w:sz w:val="24"/>
        </w:rPr>
        <w:t>Exhumace nezpopelněných lidských ostatků za účelem jejich zpopelnění v krematoriu je zakázána. Výjimky dle individuální žádosti může schválit pouze provozovatel pohřebiště.</w:t>
      </w:r>
    </w:p>
    <w:p w14:paraId="71A7A0D8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81"/>
        <w:ind w:right="111" w:hanging="356"/>
        <w:jc w:val="both"/>
        <w:rPr>
          <w:sz w:val="24"/>
        </w:rPr>
      </w:pPr>
      <w:r>
        <w:rPr>
          <w:sz w:val="24"/>
        </w:rPr>
        <w:t xml:space="preserve">Pro pohřbívání do hrobů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použity takové rakve, které ve stanovené tlecí době zetlí spolu s lidskými ostatky, tzn. nesmí obsahovat díly z PVC a jiných nerozložitelných</w:t>
      </w:r>
      <w:r>
        <w:rPr>
          <w:spacing w:val="26"/>
          <w:sz w:val="24"/>
        </w:rPr>
        <w:t xml:space="preserve"> </w:t>
      </w:r>
      <w:r>
        <w:rPr>
          <w:sz w:val="24"/>
        </w:rPr>
        <w:t>materiálů,</w:t>
      </w:r>
      <w:r>
        <w:rPr>
          <w:spacing w:val="25"/>
          <w:sz w:val="24"/>
        </w:rPr>
        <w:t xml:space="preserve"> </w:t>
      </w:r>
      <w:r>
        <w:rPr>
          <w:sz w:val="24"/>
        </w:rPr>
        <w:t>kovové</w:t>
      </w:r>
      <w:r>
        <w:rPr>
          <w:spacing w:val="23"/>
          <w:sz w:val="24"/>
        </w:rPr>
        <w:t xml:space="preserve"> </w:t>
      </w:r>
      <w:r>
        <w:rPr>
          <w:sz w:val="24"/>
        </w:rPr>
        <w:t>díly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  <w:r>
        <w:rPr>
          <w:spacing w:val="26"/>
          <w:sz w:val="24"/>
        </w:rPr>
        <w:t xml:space="preserve"> </w:t>
      </w:r>
      <w:r>
        <w:rPr>
          <w:sz w:val="24"/>
        </w:rPr>
        <w:t>omezeně;</w:t>
      </w:r>
      <w:r>
        <w:rPr>
          <w:spacing w:val="25"/>
          <w:sz w:val="24"/>
        </w:rPr>
        <w:t xml:space="preserve"> </w:t>
      </w:r>
      <w:r>
        <w:rPr>
          <w:sz w:val="24"/>
        </w:rPr>
        <w:t>výplň</w:t>
      </w:r>
      <w:r>
        <w:rPr>
          <w:spacing w:val="25"/>
          <w:sz w:val="24"/>
        </w:rPr>
        <w:t xml:space="preserve"> </w:t>
      </w:r>
      <w:r>
        <w:rPr>
          <w:sz w:val="24"/>
        </w:rPr>
        <w:t>rakví</w:t>
      </w:r>
      <w:r>
        <w:rPr>
          <w:spacing w:val="24"/>
          <w:sz w:val="24"/>
        </w:rPr>
        <w:t xml:space="preserve"> </w:t>
      </w:r>
      <w:r>
        <w:rPr>
          <w:sz w:val="24"/>
        </w:rPr>
        <w:t>může</w:t>
      </w:r>
      <w:r>
        <w:rPr>
          <w:spacing w:val="24"/>
          <w:sz w:val="24"/>
        </w:rPr>
        <w:t xml:space="preserve"> </w:t>
      </w:r>
      <w:r>
        <w:rPr>
          <w:sz w:val="24"/>
        </w:rPr>
        <w:t>být</w:t>
      </w:r>
      <w:r>
        <w:rPr>
          <w:spacing w:val="24"/>
          <w:sz w:val="24"/>
        </w:rPr>
        <w:t xml:space="preserve"> </w:t>
      </w:r>
      <w:r>
        <w:rPr>
          <w:sz w:val="24"/>
        </w:rPr>
        <w:t>pouze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</w:p>
    <w:p w14:paraId="46D278E7" w14:textId="77777777" w:rsidR="006C0C41" w:rsidRDefault="006C0C41">
      <w:pPr>
        <w:jc w:val="both"/>
        <w:rPr>
          <w:sz w:val="24"/>
        </w:rPr>
        <w:sectPr w:rsidR="006C0C41">
          <w:pgSz w:w="11900" w:h="16840"/>
          <w:pgMar w:top="1340" w:right="1300" w:bottom="980" w:left="1300" w:header="0" w:footer="783" w:gutter="0"/>
          <w:cols w:space="708"/>
        </w:sectPr>
      </w:pPr>
    </w:p>
    <w:p w14:paraId="13750844" w14:textId="77777777" w:rsidR="006C0C41" w:rsidRDefault="00D55382">
      <w:pPr>
        <w:pStyle w:val="Zkladntext"/>
        <w:spacing w:before="68" w:line="242" w:lineRule="auto"/>
        <w:ind w:left="828" w:right="112"/>
      </w:pPr>
      <w:r>
        <w:lastRenderedPageBreak/>
        <w:t>materiálů jako dřevěné piliny, papír a látky, při výrobě rakví a jejich nátěrů nesmí být použity toxické látky.</w:t>
      </w:r>
    </w:p>
    <w:p w14:paraId="0BCAE416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76"/>
        <w:ind w:right="106" w:hanging="356"/>
        <w:jc w:val="both"/>
        <w:rPr>
          <w:sz w:val="24"/>
        </w:rPr>
      </w:pPr>
      <w:r>
        <w:rPr>
          <w:sz w:val="24"/>
        </w:rPr>
        <w:t>Pro pohřbívání do hrobek je nutno použít rakve s maximálními rozměry 2,15 x 0,85 m, a to celodubové nebo z jiných druhů dřev, do kterých bude umístěna poloviční zinková vložka, nebo kovové s nepropustným</w:t>
      </w:r>
      <w:r>
        <w:rPr>
          <w:spacing w:val="-2"/>
          <w:sz w:val="24"/>
        </w:rPr>
        <w:t xml:space="preserve"> </w:t>
      </w:r>
      <w:r>
        <w:rPr>
          <w:sz w:val="24"/>
        </w:rPr>
        <w:t>dnem.</w:t>
      </w:r>
    </w:p>
    <w:p w14:paraId="019CC922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line="242" w:lineRule="auto"/>
        <w:ind w:left="835" w:right="108" w:hanging="360"/>
        <w:jc w:val="both"/>
        <w:rPr>
          <w:sz w:val="24"/>
        </w:rPr>
      </w:pPr>
      <w:r>
        <w:rPr>
          <w:sz w:val="24"/>
        </w:rPr>
        <w:t>Provozovatel pohřebiště vystaví vypraviteli pohřbu doklad o pohřbení s náležitostmi dle zákona o</w:t>
      </w:r>
      <w:r>
        <w:rPr>
          <w:spacing w:val="-3"/>
          <w:sz w:val="24"/>
        </w:rPr>
        <w:t xml:space="preserve"> </w:t>
      </w:r>
      <w:r>
        <w:rPr>
          <w:sz w:val="24"/>
        </w:rPr>
        <w:t>pohřebnictví.</w:t>
      </w:r>
    </w:p>
    <w:p w14:paraId="76DCC61C" w14:textId="77777777" w:rsidR="006C0C41" w:rsidRDefault="00D55382">
      <w:pPr>
        <w:pStyle w:val="Odstavecseseznamem"/>
        <w:numPr>
          <w:ilvl w:val="0"/>
          <w:numId w:val="3"/>
        </w:numPr>
        <w:tabs>
          <w:tab w:val="left" w:pos="836"/>
        </w:tabs>
        <w:spacing w:before="74"/>
        <w:ind w:left="835" w:right="109" w:hanging="360"/>
        <w:jc w:val="both"/>
        <w:rPr>
          <w:sz w:val="24"/>
        </w:rPr>
      </w:pPr>
      <w:r>
        <w:rPr>
          <w:sz w:val="24"/>
        </w:rPr>
        <w:t>Po zániku nájmu se lidské ostatky nezpopelněné i zpopelněné ponechají na dosavadním místě. Při nájmu hrobového místa novým nájemcem budou tyto lidské ostatky v průběhu nového pohřbení uloženy pod úroveň dna hrobu. Není-li možné využít úroveň dna hrobu, uloží se lidské ostatky do společného hrobu téhož pohřebiště dle určení provozovatele</w:t>
      </w:r>
      <w:r>
        <w:rPr>
          <w:spacing w:val="-1"/>
          <w:sz w:val="24"/>
        </w:rPr>
        <w:t xml:space="preserve"> </w:t>
      </w:r>
      <w:r>
        <w:rPr>
          <w:sz w:val="24"/>
        </w:rPr>
        <w:t>pohřebiště.</w:t>
      </w:r>
    </w:p>
    <w:p w14:paraId="0EA91930" w14:textId="77777777" w:rsidR="006C0C41" w:rsidRDefault="006C0C41">
      <w:pPr>
        <w:pStyle w:val="Zkladntext"/>
        <w:jc w:val="left"/>
        <w:rPr>
          <w:sz w:val="26"/>
        </w:rPr>
      </w:pPr>
    </w:p>
    <w:p w14:paraId="0837EC94" w14:textId="77777777" w:rsidR="006C0C41" w:rsidRDefault="006C0C41">
      <w:pPr>
        <w:pStyle w:val="Zkladntext"/>
        <w:spacing w:before="7"/>
        <w:jc w:val="left"/>
        <w:rPr>
          <w:sz w:val="29"/>
        </w:rPr>
      </w:pPr>
    </w:p>
    <w:p w14:paraId="647BAEB3" w14:textId="77777777" w:rsidR="006C0C41" w:rsidRDefault="00D55382">
      <w:pPr>
        <w:pStyle w:val="Nadpis11"/>
        <w:ind w:left="3987" w:right="3982"/>
      </w:pPr>
      <w:r>
        <w:t>Článek č. 6 Tlecí doba</w:t>
      </w:r>
    </w:p>
    <w:p w14:paraId="77E9E70F" w14:textId="77777777" w:rsidR="006C0C41" w:rsidRDefault="006C0C41">
      <w:pPr>
        <w:pStyle w:val="Zkladntext"/>
        <w:spacing w:before="6"/>
        <w:jc w:val="left"/>
        <w:rPr>
          <w:b/>
          <w:sz w:val="30"/>
        </w:rPr>
      </w:pPr>
    </w:p>
    <w:p w14:paraId="63522914" w14:textId="77777777" w:rsidR="006C0C41" w:rsidRDefault="00D55382">
      <w:pPr>
        <w:pStyle w:val="Zkladntext"/>
        <w:ind w:left="473" w:right="109"/>
      </w:pPr>
      <w:r>
        <w:t xml:space="preserve">Tlecí doba stanovená pro ukládání lidských pozůstatků </w:t>
      </w:r>
      <w:r w:rsidR="00374EF1">
        <w:t>do hrobů na pohřebišti v Košicích činí</w:t>
      </w:r>
      <w:r>
        <w:t xml:space="preserve"> </w:t>
      </w:r>
      <w:r>
        <w:rPr>
          <w:b/>
        </w:rPr>
        <w:t xml:space="preserve">10 let </w:t>
      </w:r>
      <w:r>
        <w:t>do standardních hrobů hlubokých 1,5 metru (s možností pohřbívání do prohloubených hrobů hlubokých max. 2 metry) dle hydrogeologického posouzení z května 2002.</w:t>
      </w:r>
    </w:p>
    <w:p w14:paraId="61FEBD34" w14:textId="77777777" w:rsidR="006C0C41" w:rsidRDefault="006C0C41">
      <w:pPr>
        <w:pStyle w:val="Zkladntext"/>
        <w:jc w:val="left"/>
        <w:rPr>
          <w:sz w:val="26"/>
        </w:rPr>
      </w:pPr>
    </w:p>
    <w:p w14:paraId="04AD6509" w14:textId="77777777" w:rsidR="006C0C41" w:rsidRDefault="006C0C41">
      <w:pPr>
        <w:pStyle w:val="Zkladntext"/>
        <w:spacing w:before="4"/>
        <w:jc w:val="left"/>
        <w:rPr>
          <w:sz w:val="29"/>
        </w:rPr>
      </w:pPr>
    </w:p>
    <w:p w14:paraId="0B09C863" w14:textId="77777777" w:rsidR="006C0C41" w:rsidRDefault="00D55382">
      <w:pPr>
        <w:pStyle w:val="Nadpis11"/>
        <w:spacing w:before="1"/>
        <w:ind w:left="2883" w:right="2866" w:firstLine="1104"/>
        <w:jc w:val="left"/>
      </w:pPr>
      <w:r>
        <w:t>Článek č</w:t>
      </w:r>
      <w:r w:rsidR="00562F53">
        <w:t xml:space="preserve">. 7 </w:t>
      </w:r>
    </w:p>
    <w:p w14:paraId="115947B3" w14:textId="77777777" w:rsidR="00562F53" w:rsidRPr="00C43861" w:rsidRDefault="00562F53" w:rsidP="00C43861">
      <w:pPr>
        <w:pStyle w:val="Nadpis11"/>
      </w:pPr>
      <w:r>
        <w:t>Podmínky zřízení hrobky, náhrobku, hrobového zařízení</w:t>
      </w:r>
    </w:p>
    <w:p w14:paraId="29204751" w14:textId="77777777" w:rsidR="006C0C41" w:rsidRDefault="006C0C41">
      <w:pPr>
        <w:pStyle w:val="Zkladntext"/>
        <w:spacing w:before="5"/>
        <w:jc w:val="left"/>
        <w:rPr>
          <w:b/>
          <w:sz w:val="30"/>
        </w:rPr>
      </w:pPr>
    </w:p>
    <w:p w14:paraId="565CA51F" w14:textId="77777777" w:rsidR="006C0C41" w:rsidRDefault="00D55382">
      <w:pPr>
        <w:pStyle w:val="Odstavecseseznamem"/>
        <w:numPr>
          <w:ilvl w:val="0"/>
          <w:numId w:val="2"/>
        </w:numPr>
        <w:tabs>
          <w:tab w:val="left" w:pos="836"/>
        </w:tabs>
        <w:spacing w:before="1"/>
        <w:ind w:left="835" w:right="112"/>
        <w:jc w:val="both"/>
        <w:rPr>
          <w:sz w:val="24"/>
        </w:rPr>
      </w:pPr>
      <w:r>
        <w:rPr>
          <w:sz w:val="24"/>
        </w:rPr>
        <w:t>Zhotovení náhrobku, hrobového zařízení nebo úprava již existujících je po splnění podmínek dle odst. 6 čl. 4 tohoto Řádu možné za těchto</w:t>
      </w:r>
      <w:r>
        <w:rPr>
          <w:spacing w:val="-8"/>
          <w:sz w:val="24"/>
        </w:rPr>
        <w:t xml:space="preserve"> </w:t>
      </w:r>
      <w:r>
        <w:rPr>
          <w:sz w:val="24"/>
        </w:rPr>
        <w:t>podmínek:</w:t>
      </w:r>
    </w:p>
    <w:p w14:paraId="3B378708" w14:textId="77777777" w:rsidR="006C0C41" w:rsidRDefault="00D55382">
      <w:pPr>
        <w:pStyle w:val="Odstavecseseznamem"/>
        <w:numPr>
          <w:ilvl w:val="1"/>
          <w:numId w:val="2"/>
        </w:numPr>
        <w:tabs>
          <w:tab w:val="left" w:pos="1196"/>
        </w:tabs>
        <w:spacing w:before="77" w:line="242" w:lineRule="auto"/>
        <w:ind w:right="110" w:hanging="361"/>
        <w:jc w:val="both"/>
        <w:rPr>
          <w:sz w:val="24"/>
        </w:rPr>
      </w:pPr>
      <w:r>
        <w:rPr>
          <w:sz w:val="24"/>
        </w:rPr>
        <w:t>základy musí odpovídat půdorysným rozměrům díla a hloubc</w:t>
      </w:r>
      <w:r w:rsidR="00374EF1">
        <w:rPr>
          <w:sz w:val="24"/>
        </w:rPr>
        <w:t>e základové spáry, která činí 60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</w:p>
    <w:p w14:paraId="5C43FF8B" w14:textId="77777777" w:rsidR="006C0C41" w:rsidRDefault="00D55382">
      <w:pPr>
        <w:pStyle w:val="Odstavecseseznamem"/>
        <w:numPr>
          <w:ilvl w:val="1"/>
          <w:numId w:val="2"/>
        </w:numPr>
        <w:tabs>
          <w:tab w:val="left" w:pos="1196"/>
        </w:tabs>
        <w:spacing w:before="76"/>
        <w:ind w:left="1195" w:right="110"/>
        <w:jc w:val="both"/>
        <w:rPr>
          <w:sz w:val="24"/>
        </w:rPr>
      </w:pPr>
      <w:r>
        <w:rPr>
          <w:sz w:val="24"/>
        </w:rPr>
        <w:t>základy památníků a náhrobků musí být zhotoveny z dostatečně únosného materiálu odolného proti působení povětrnosti, např. z prostého betonu či železobetonu, kamenného, příp. cihelného zdiva</w:t>
      </w:r>
      <w:r>
        <w:rPr>
          <w:spacing w:val="-2"/>
          <w:sz w:val="24"/>
        </w:rPr>
        <w:t xml:space="preserve"> </w:t>
      </w:r>
      <w:r>
        <w:rPr>
          <w:sz w:val="24"/>
        </w:rPr>
        <w:t>apod.</w:t>
      </w:r>
    </w:p>
    <w:p w14:paraId="37AF55D5" w14:textId="77777777" w:rsidR="006C0C41" w:rsidRDefault="00D55382">
      <w:pPr>
        <w:pStyle w:val="Odstavecseseznamem"/>
        <w:numPr>
          <w:ilvl w:val="1"/>
          <w:numId w:val="2"/>
        </w:numPr>
        <w:tabs>
          <w:tab w:val="left" w:pos="1196"/>
        </w:tabs>
        <w:spacing w:before="81"/>
        <w:ind w:hanging="361"/>
        <w:jc w:val="both"/>
        <w:rPr>
          <w:sz w:val="24"/>
        </w:rPr>
      </w:pPr>
      <w:r>
        <w:rPr>
          <w:sz w:val="24"/>
        </w:rPr>
        <w:t xml:space="preserve">přední a zadní rámy hrobu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v jedné přímce s rámy sousedních</w:t>
      </w:r>
      <w:r>
        <w:rPr>
          <w:spacing w:val="-10"/>
          <w:sz w:val="24"/>
        </w:rPr>
        <w:t xml:space="preserve"> </w:t>
      </w:r>
      <w:r>
        <w:rPr>
          <w:sz w:val="24"/>
        </w:rPr>
        <w:t>hrobů</w:t>
      </w:r>
    </w:p>
    <w:p w14:paraId="5C7C9A27" w14:textId="77777777" w:rsidR="006C0C41" w:rsidRDefault="00D55382">
      <w:pPr>
        <w:pStyle w:val="Odstavecseseznamem"/>
        <w:numPr>
          <w:ilvl w:val="1"/>
          <w:numId w:val="2"/>
        </w:numPr>
        <w:tabs>
          <w:tab w:val="left" w:pos="1196"/>
        </w:tabs>
        <w:spacing w:before="80"/>
        <w:ind w:hanging="361"/>
        <w:jc w:val="both"/>
        <w:rPr>
          <w:sz w:val="24"/>
        </w:rPr>
      </w:pPr>
      <w:r>
        <w:rPr>
          <w:sz w:val="24"/>
        </w:rPr>
        <w:t xml:space="preserve">vlastní náhrobek a rámy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mezi sebou jednotlivě</w:t>
      </w:r>
      <w:r>
        <w:rPr>
          <w:spacing w:val="-4"/>
          <w:sz w:val="24"/>
        </w:rPr>
        <w:t xml:space="preserve"> </w:t>
      </w:r>
      <w:r>
        <w:rPr>
          <w:sz w:val="24"/>
        </w:rPr>
        <w:t>kotveny</w:t>
      </w:r>
    </w:p>
    <w:p w14:paraId="3332B8D7" w14:textId="77777777" w:rsidR="006C0C41" w:rsidRDefault="006C0C41">
      <w:pPr>
        <w:pStyle w:val="Zkladntext"/>
        <w:spacing w:before="8"/>
        <w:jc w:val="left"/>
        <w:rPr>
          <w:sz w:val="37"/>
        </w:rPr>
      </w:pPr>
    </w:p>
    <w:p w14:paraId="3BE9CE72" w14:textId="77777777" w:rsidR="00C43861" w:rsidRPr="008728B1" w:rsidRDefault="008170F9" w:rsidP="00C43861">
      <w:pPr>
        <w:widowControl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C43861" w:rsidRPr="008728B1">
        <w:rPr>
          <w:color w:val="000000"/>
          <w:sz w:val="24"/>
          <w:szCs w:val="24"/>
        </w:rPr>
        <w:t xml:space="preserve">Při stavbě hrobky je navíc </w:t>
      </w:r>
    </w:p>
    <w:p w14:paraId="13A1CA0D" w14:textId="77777777" w:rsidR="00C43861" w:rsidRPr="008728B1" w:rsidRDefault="00C43861" w:rsidP="00C43861">
      <w:pPr>
        <w:widowControl/>
        <w:adjustRightInd w:val="0"/>
        <w:rPr>
          <w:color w:val="000000"/>
          <w:sz w:val="24"/>
          <w:szCs w:val="24"/>
          <w:highlight w:val="cyan"/>
        </w:rPr>
      </w:pPr>
    </w:p>
    <w:p w14:paraId="40D11802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nutné posoudit okolí plánované stavby (vliv na výsadbu, okolní komunikace, přístup k sousedním hrobovým místům) </w:t>
      </w:r>
    </w:p>
    <w:p w14:paraId="3092E2EA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vytvořit zadání pro projektovou dokumentaci ke stavbě hrobky (např. tvar hrobky a odvětrávání, typ terénu a půdy, prostoru hrobky pro požadovaný počet rakví, výkopu pro požadovaný počet rakví) </w:t>
      </w:r>
    </w:p>
    <w:p w14:paraId="0E17EADA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navrhnout materiály a hlavní konstrukční prvky včetně požadavků pro osazení hrobky hrobovým zařízením kamenickou firmou (základové pasy, beton, výztuže, betonové tvárnice) na základě předloženého statického výpočtu </w:t>
      </w:r>
    </w:p>
    <w:p w14:paraId="46995761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lastRenderedPageBreak/>
        <w:t xml:space="preserve">zhotovit jednoduchý rozpočet stavby (ceny stavebních materiálů a stavebních prací, přesunu hmot) </w:t>
      </w:r>
    </w:p>
    <w:p w14:paraId="03BA0832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provést uložení přebytečné zeminy (zajištění oddělení případných lidských ostatků, naložení, odvoz a uložení zeminy na skládku, dodržování hygienických předpisů a opatření) </w:t>
      </w:r>
    </w:p>
    <w:p w14:paraId="12D9257B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zhotovit základové pasy včetně dodržení technologických postupů a parametrů pro zvolený materiál stavby </w:t>
      </w:r>
    </w:p>
    <w:p w14:paraId="2F7FA5D1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zhotovit stěny, vložit svislé i vodorovné výztuže, zhotovit otvory pro patra, zalít betonem a zhotovit odvodnění </w:t>
      </w:r>
    </w:p>
    <w:p w14:paraId="4F091D5D" w14:textId="77777777" w:rsidR="00C43861" w:rsidRPr="00D733E5" w:rsidRDefault="00C43861" w:rsidP="003F7A6B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D733E5">
        <w:rPr>
          <w:color w:val="000000"/>
          <w:sz w:val="24"/>
          <w:szCs w:val="24"/>
        </w:rPr>
        <w:t xml:space="preserve">ukončit stavbu (betonový věnec, popř. zhotovení vnitřního zakrytí stropnicemi a následná izolace proti povrchové vodě) </w:t>
      </w:r>
    </w:p>
    <w:p w14:paraId="2BB85BD8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dodržet minimální světlost otvoru pro spuštění rakve s možností opakovaného otevření bez nutnosti demontáže hrobového zařízení </w:t>
      </w:r>
    </w:p>
    <w:p w14:paraId="5AA825E3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obsypat stěny hrobky, upravit okolní terén </w:t>
      </w:r>
    </w:p>
    <w:p w14:paraId="7FC26D0C" w14:textId="77777777" w:rsidR="00C43861" w:rsidRPr="008728B1" w:rsidRDefault="00C43861" w:rsidP="00C43861">
      <w:pPr>
        <w:pStyle w:val="Odstavecseseznamem"/>
        <w:widowControl/>
        <w:numPr>
          <w:ilvl w:val="1"/>
          <w:numId w:val="9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728B1">
        <w:rPr>
          <w:color w:val="000000"/>
          <w:sz w:val="24"/>
          <w:szCs w:val="24"/>
        </w:rPr>
        <w:t xml:space="preserve">protokolárně předat stavbu včetně souhlasu provozovatele pohřebiště tuto stavbu užívat. </w:t>
      </w:r>
    </w:p>
    <w:p w14:paraId="60DE61AA" w14:textId="77777777" w:rsidR="00C43861" w:rsidRPr="008170F9" w:rsidRDefault="00C43861" w:rsidP="00C43861">
      <w:pPr>
        <w:widowControl/>
        <w:adjustRightInd w:val="0"/>
        <w:spacing w:after="267"/>
        <w:rPr>
          <w:i/>
          <w:iCs/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2. Při provádění prací směřujících ke zhotovení, údržbě, opravám, nebo odstranění věcí na hrobovém místě je vždy třeba předchozího prokazatelného souhlasu nájemce, neprovádí-li tyto práce sám, přičemž je ten, kdo tyto práce provádí povinen činit tak dle pokynů provozovatele / správce pohřebiště, nájemní smlouvy a tohoto Řádu. </w:t>
      </w:r>
    </w:p>
    <w:p w14:paraId="4E559DC9" w14:textId="77777777" w:rsidR="00C43861" w:rsidRPr="008170F9" w:rsidRDefault="00101B6F" w:rsidP="00C43861">
      <w:pPr>
        <w:widowControl/>
        <w:adjustRightInd w:val="0"/>
        <w:spacing w:after="2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43861" w:rsidRPr="008170F9">
        <w:rPr>
          <w:color w:val="000000"/>
          <w:sz w:val="24"/>
          <w:szCs w:val="24"/>
        </w:rPr>
        <w:t xml:space="preserve">Na hrobovém místě lze vysadit strom nebo keř pouze s předchozím písemným povolením provozovatele pohřebiště. Provozovatel může nájemci přikázat odstranění vysazené dřeviny bez jeho souhlasu, případně odstranit takovou výsadbu na náklad nájemce hrobového místa. </w:t>
      </w:r>
    </w:p>
    <w:p w14:paraId="4592F87E" w14:textId="77777777" w:rsidR="00C43861" w:rsidRPr="008728B1" w:rsidRDefault="00C43861" w:rsidP="00C43861">
      <w:pPr>
        <w:pStyle w:val="Standard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872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Článek č. 8</w:t>
      </w:r>
    </w:p>
    <w:p w14:paraId="3253D6C3" w14:textId="77777777" w:rsidR="00C43861" w:rsidRPr="008728B1" w:rsidRDefault="00C43861" w:rsidP="00C43861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872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Podmínky pro otevření hrobu nebo hrobky provozovatelem pohřební služby</w:t>
      </w:r>
    </w:p>
    <w:p w14:paraId="5562BA46" w14:textId="77777777" w:rsidR="00C43861" w:rsidRPr="00C43861" w:rsidRDefault="00C43861" w:rsidP="00C43861">
      <w:pPr>
        <w:widowControl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790FB8D" w14:textId="77777777" w:rsidR="00C43861" w:rsidRPr="008170F9" w:rsidRDefault="00C43861" w:rsidP="00C43861">
      <w:pPr>
        <w:widowControl/>
        <w:adjustRightInd w:val="0"/>
        <w:spacing w:after="267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1. Provozovatel pohřební služby smí otevřít hrob nebo hrobku na pohřebišti pro uložení lidských pozůstatků, nebo lidských ostatků, k provedení exhumace, popř. k jiným účelům, pokud provozovatel / správce pohřebiště obdrží v dostatečném předstihu před samotným otevřením hrobu nebo hrobky </w:t>
      </w:r>
    </w:p>
    <w:p w14:paraId="200F2E2F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písemnou žádost vypravitele pohřbu, nájemce hrobu a majitele hrobového zařízení o otevření hrobu nebo hrobky provozovatelem pohřební služby, </w:t>
      </w:r>
    </w:p>
    <w:p w14:paraId="016B9260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kopii té části smlouvy uzavřené mezi provozovatelem pohřební služby a vypravitelem pohřbu o vypravení pohřbu, která přikazuje pohřbít do příslušného hrobového místa, </w:t>
      </w:r>
    </w:p>
    <w:p w14:paraId="16DB236D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doklad o oprávnění k podnikatelské činnosti v oblasti provozování pohřební služby a o oprávněnosti vykonávat podnikatelskou činnost technické </w:t>
      </w:r>
      <w:r w:rsidR="00D733E5" w:rsidRPr="008170F9">
        <w:rPr>
          <w:color w:val="000000"/>
          <w:sz w:val="24"/>
          <w:szCs w:val="24"/>
        </w:rPr>
        <w:t>služby – práce</w:t>
      </w:r>
      <w:r w:rsidRPr="008170F9">
        <w:rPr>
          <w:color w:val="000000"/>
          <w:sz w:val="24"/>
          <w:szCs w:val="24"/>
        </w:rPr>
        <w:t xml:space="preserve"> při kopání hrobů na pohřebištích (výpis z živnostenského rejstříku), </w:t>
      </w:r>
    </w:p>
    <w:p w14:paraId="6FEAC910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prohlášení, že uvedené práce zajistí provozovatel pohřební služby na vlastní náklad, vlastními zaměstnanci a s použitím vlastních pomůcek i nářadí a na vlastní odpovědnost, </w:t>
      </w:r>
    </w:p>
    <w:p w14:paraId="1D30668F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osvědčení o získání profesní kvalifikace Hrobník nebo potvrzení o absolvování školení hrobníků od zaměstnance provozovatele pohřební služby, který bude hrob nebo hrobku otevírat, </w:t>
      </w:r>
    </w:p>
    <w:p w14:paraId="64DB41DB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doklad o ověření znalostí předpisů BOZP a PO, </w:t>
      </w:r>
    </w:p>
    <w:p w14:paraId="4A7A5A74" w14:textId="77777777" w:rsidR="00C43861" w:rsidRPr="008170F9" w:rsidRDefault="00C43861" w:rsidP="00C43861">
      <w:pPr>
        <w:pStyle w:val="Odstavecseseznamem"/>
        <w:widowControl/>
        <w:numPr>
          <w:ilvl w:val="1"/>
          <w:numId w:val="10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lastRenderedPageBreak/>
        <w:t xml:space="preserve">návrh na protokolování předání pracoviště před i po pohřební včetně fotografií příslušného hrobového místa před jeho otevřením a fotografie bezprostředně sousedících hrobů. </w:t>
      </w:r>
    </w:p>
    <w:p w14:paraId="52ED038F" w14:textId="77777777" w:rsidR="00C43861" w:rsidRPr="008170F9" w:rsidRDefault="00C43861" w:rsidP="00C43861">
      <w:pPr>
        <w:widowControl/>
        <w:adjustRightInd w:val="0"/>
        <w:spacing w:after="267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2. Zaměstnanec pohřební služby, který bude hrob nebo hrobku otevírat, musí být </w:t>
      </w:r>
      <w:r w:rsidR="00D733E5" w:rsidRPr="008170F9">
        <w:rPr>
          <w:color w:val="000000"/>
          <w:sz w:val="24"/>
          <w:szCs w:val="24"/>
        </w:rPr>
        <w:t>provozovatelem pohřebiště</w:t>
      </w:r>
      <w:r w:rsidRPr="008170F9">
        <w:rPr>
          <w:color w:val="000000"/>
          <w:sz w:val="24"/>
          <w:szCs w:val="24"/>
        </w:rPr>
        <w:t xml:space="preserve"> seznámen s řádem pohřebiště, místními podmínkami a s jinými informacemi nezbytnými pro bezpečné a nezávadné otevření hrobu nebo hrobky. </w:t>
      </w:r>
    </w:p>
    <w:p w14:paraId="69AE629B" w14:textId="77777777" w:rsidR="00C43861" w:rsidRPr="008170F9" w:rsidRDefault="00C43861" w:rsidP="00C43861">
      <w:pPr>
        <w:widowControl/>
        <w:adjustRightInd w:val="0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3. Provádí-li otevření hrobu nebo hrobky zaměstnanec provozovatele pohřební služby, </w:t>
      </w:r>
      <w:r w:rsidR="00D733E5" w:rsidRPr="008170F9">
        <w:rPr>
          <w:color w:val="000000"/>
          <w:sz w:val="24"/>
          <w:szCs w:val="24"/>
        </w:rPr>
        <w:t>provozovatel pohřebiště</w:t>
      </w:r>
      <w:r w:rsidRPr="008170F9">
        <w:rPr>
          <w:color w:val="000000"/>
          <w:sz w:val="24"/>
          <w:szCs w:val="24"/>
        </w:rPr>
        <w:t xml:space="preserve"> je oprávněn kdykoli </w:t>
      </w:r>
    </w:p>
    <w:p w14:paraId="6209D675" w14:textId="77777777" w:rsidR="00C43861" w:rsidRPr="008170F9" w:rsidRDefault="00C43861" w:rsidP="00C43861">
      <w:pPr>
        <w:widowControl/>
        <w:adjustRightInd w:val="0"/>
        <w:rPr>
          <w:color w:val="000000"/>
          <w:sz w:val="24"/>
          <w:szCs w:val="24"/>
        </w:rPr>
      </w:pPr>
    </w:p>
    <w:p w14:paraId="2E7533E7" w14:textId="77777777" w:rsidR="00C43861" w:rsidRPr="008170F9" w:rsidRDefault="00C43861" w:rsidP="00C43861">
      <w:pPr>
        <w:pStyle w:val="Odstavecseseznamem"/>
        <w:widowControl/>
        <w:numPr>
          <w:ilvl w:val="1"/>
          <w:numId w:val="11"/>
        </w:numPr>
        <w:adjustRightInd w:val="0"/>
        <w:spacing w:before="0" w:after="267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zkontrolovat průběh prací, stav výkopu a pažení, dohlédnout na zabezpečení vykopané hrobové jámy proti pádu třetí osoby a přítomnost druhého pracovníka provozovatele pohřební služby, </w:t>
      </w:r>
    </w:p>
    <w:p w14:paraId="6154DFE3" w14:textId="77777777" w:rsidR="00C43861" w:rsidRPr="008170F9" w:rsidRDefault="00C43861" w:rsidP="00C43861">
      <w:pPr>
        <w:pStyle w:val="Odstavecseseznamem"/>
        <w:widowControl/>
        <w:numPr>
          <w:ilvl w:val="1"/>
          <w:numId w:val="11"/>
        </w:numPr>
        <w:adjustRightInd w:val="0"/>
        <w:spacing w:before="0"/>
        <w:contextualSpacing/>
        <w:jc w:val="left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požádat o přerušení prací; v takovém případě je zaměstnanec provozovatele pohřební služby povinen práce neprodleně pozastavit. </w:t>
      </w:r>
    </w:p>
    <w:p w14:paraId="101DDF6F" w14:textId="77777777" w:rsidR="00C43861" w:rsidRPr="008170F9" w:rsidRDefault="00C43861" w:rsidP="00C43861">
      <w:pPr>
        <w:widowControl/>
        <w:adjustRightInd w:val="0"/>
        <w:rPr>
          <w:color w:val="000000"/>
          <w:sz w:val="24"/>
          <w:szCs w:val="24"/>
        </w:rPr>
      </w:pPr>
    </w:p>
    <w:p w14:paraId="6511623D" w14:textId="77777777" w:rsidR="00C43861" w:rsidRPr="008170F9" w:rsidRDefault="00C43861" w:rsidP="00C43861">
      <w:pPr>
        <w:widowControl/>
        <w:adjustRightInd w:val="0"/>
        <w:spacing w:after="268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5. Otevření hrobu, u něhož neuplynula tlecí doba od posledního pohřbení, je možné provést jen tehdy, pokud příslušná krajská hygienická stanice povolila manipulaci s nezetlelými lidskými ostatky. </w:t>
      </w:r>
    </w:p>
    <w:p w14:paraId="66F2B1D9" w14:textId="77777777" w:rsidR="00C43861" w:rsidRPr="008170F9" w:rsidRDefault="00C43861" w:rsidP="00C43861">
      <w:pPr>
        <w:widowControl/>
        <w:adjustRightInd w:val="0"/>
        <w:spacing w:after="268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6. Provozovatel pohřebiště může odmítnout otevření hrobu nebo hrobky, jsou-li k tomu závažné důvody, např. bezprostřední blízkost vzrostlého stromu, u něhož by musely být přerušeny hlavní kořeny (což by vedlo k narušení stability stromu), pokud je pohřebiště a jeho porost v nepříznivém stavu v důsledku vichřic, dešťových srážek, nebo pokrytí povrchu sněhem a ledem. </w:t>
      </w:r>
    </w:p>
    <w:p w14:paraId="079DBD0F" w14:textId="77777777" w:rsidR="00C43861" w:rsidRPr="008170F9" w:rsidRDefault="00C43861" w:rsidP="00C43861">
      <w:pPr>
        <w:widowControl/>
        <w:adjustRightInd w:val="0"/>
        <w:spacing w:after="268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7. Rakev s lidskými pozůstatky musí být po uložení do hrobu zasypána zkypřenou zeminou ve výši minimálně 1,2 m. </w:t>
      </w:r>
    </w:p>
    <w:p w14:paraId="496A9927" w14:textId="77777777" w:rsidR="00C43861" w:rsidRPr="008170F9" w:rsidRDefault="00C43861" w:rsidP="00C43861">
      <w:pPr>
        <w:widowControl/>
        <w:adjustRightInd w:val="0"/>
        <w:spacing w:after="268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8. </w:t>
      </w:r>
      <w:r w:rsidR="00D733E5" w:rsidRPr="008170F9">
        <w:rPr>
          <w:color w:val="000000"/>
          <w:sz w:val="24"/>
          <w:szCs w:val="24"/>
        </w:rPr>
        <w:t>Provozovatel pohřebiště</w:t>
      </w:r>
      <w:r w:rsidRPr="008170F9">
        <w:rPr>
          <w:color w:val="000000"/>
          <w:sz w:val="24"/>
          <w:szCs w:val="24"/>
        </w:rPr>
        <w:t xml:space="preserve"> zajistí při otevření hrobu a hrobky provoz na pohřebišti tak, aby nebyl narušen veřejný pořádek a aby byl vyloučen přenos možné nákazy. </w:t>
      </w:r>
    </w:p>
    <w:p w14:paraId="1982498F" w14:textId="77777777" w:rsidR="00C43861" w:rsidRPr="008170F9" w:rsidRDefault="00C43861" w:rsidP="00C43861">
      <w:pPr>
        <w:widowControl/>
        <w:adjustRightInd w:val="0"/>
        <w:rPr>
          <w:color w:val="000000"/>
          <w:sz w:val="24"/>
          <w:szCs w:val="24"/>
        </w:rPr>
      </w:pPr>
      <w:r w:rsidRPr="008170F9">
        <w:rPr>
          <w:color w:val="000000"/>
          <w:sz w:val="24"/>
          <w:szCs w:val="24"/>
        </w:rPr>
        <w:t xml:space="preserve">9. Náklady vzniklé provozovateli pohřebiště v souvislosti s otevřením hrobu nebo hrobky hradí ten, kdo o otevření požádal. Provozovatel pohřebiště má nárok na úhradu přiměřených nákladů za poskytnuté výše uvedené a další související služby. </w:t>
      </w:r>
    </w:p>
    <w:p w14:paraId="364CA501" w14:textId="77777777" w:rsidR="00C43861" w:rsidRDefault="00C43861" w:rsidP="00C43861">
      <w:pPr>
        <w:widowControl/>
        <w:adjustRightInd w:val="0"/>
        <w:spacing w:after="267"/>
        <w:rPr>
          <w:rFonts w:asciiTheme="minorHAnsi" w:hAnsiTheme="minorHAnsi"/>
          <w:color w:val="000000"/>
          <w:sz w:val="24"/>
          <w:szCs w:val="24"/>
        </w:rPr>
      </w:pPr>
    </w:p>
    <w:p w14:paraId="3562D7BA" w14:textId="77777777" w:rsidR="00C43861" w:rsidRDefault="00C43861" w:rsidP="00C43861">
      <w:pPr>
        <w:widowControl/>
        <w:autoSpaceDE/>
        <w:autoSpaceDN/>
        <w:rPr>
          <w:sz w:val="24"/>
        </w:rPr>
        <w:sectPr w:rsidR="00C43861">
          <w:pgSz w:w="11900" w:h="16840"/>
          <w:pgMar w:top="1340" w:right="1300" w:bottom="980" w:left="1300" w:header="0" w:footer="783" w:gutter="0"/>
          <w:cols w:space="708"/>
        </w:sectPr>
      </w:pPr>
    </w:p>
    <w:p w14:paraId="2BFAD589" w14:textId="77777777" w:rsidR="006C0C41" w:rsidRDefault="006C0C41" w:rsidP="00374EF1">
      <w:pPr>
        <w:pStyle w:val="Odstavecseseznamem"/>
        <w:tabs>
          <w:tab w:val="left" w:pos="836"/>
        </w:tabs>
        <w:spacing w:before="1" w:line="242" w:lineRule="auto"/>
        <w:ind w:left="836" w:right="110" w:firstLine="0"/>
        <w:jc w:val="left"/>
        <w:rPr>
          <w:sz w:val="24"/>
        </w:rPr>
      </w:pPr>
    </w:p>
    <w:p w14:paraId="50DEAFE0" w14:textId="77777777" w:rsidR="006C0C41" w:rsidRDefault="00C43861">
      <w:pPr>
        <w:pStyle w:val="Nadpis11"/>
        <w:spacing w:before="74" w:line="242" w:lineRule="auto"/>
        <w:ind w:left="3339" w:right="3336" w:firstLine="2"/>
      </w:pPr>
      <w:r>
        <w:t>Č</w:t>
      </w:r>
      <w:r w:rsidR="00D55382">
        <w:t>lánek č. 9 Závěrečná</w:t>
      </w:r>
      <w:r w:rsidR="00D55382">
        <w:rPr>
          <w:spacing w:val="-8"/>
        </w:rPr>
        <w:t xml:space="preserve"> </w:t>
      </w:r>
      <w:r w:rsidR="00D55382">
        <w:t>ustanovení</w:t>
      </w:r>
    </w:p>
    <w:p w14:paraId="0A0E0CAE" w14:textId="77777777" w:rsidR="006C0C41" w:rsidRDefault="006C0C41">
      <w:pPr>
        <w:pStyle w:val="Zkladntext"/>
        <w:spacing w:before="1"/>
        <w:jc w:val="left"/>
        <w:rPr>
          <w:b/>
          <w:sz w:val="30"/>
        </w:rPr>
      </w:pPr>
    </w:p>
    <w:p w14:paraId="58091CB1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Provozovatel pohřebiště je oprávněn provádět kontrolu dodržování tohoto</w:t>
      </w:r>
      <w:r>
        <w:rPr>
          <w:spacing w:val="-8"/>
          <w:sz w:val="24"/>
        </w:rPr>
        <w:t xml:space="preserve"> </w:t>
      </w:r>
      <w:r>
        <w:rPr>
          <w:sz w:val="24"/>
        </w:rPr>
        <w:t>Řádu.</w:t>
      </w:r>
    </w:p>
    <w:p w14:paraId="709E95F4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80"/>
        <w:ind w:hanging="361"/>
        <w:rPr>
          <w:sz w:val="24"/>
        </w:rPr>
      </w:pPr>
      <w:r>
        <w:rPr>
          <w:sz w:val="24"/>
        </w:rPr>
        <w:t xml:space="preserve">Za porušení tohoto Řádu může </w:t>
      </w:r>
      <w:r>
        <w:rPr>
          <w:spacing w:val="-2"/>
          <w:sz w:val="24"/>
        </w:rPr>
        <w:t xml:space="preserve">být </w:t>
      </w:r>
      <w:r>
        <w:rPr>
          <w:sz w:val="24"/>
        </w:rPr>
        <w:t xml:space="preserve">udělena pokuta až do výše </w:t>
      </w:r>
      <w:r w:rsidR="00D733E5">
        <w:rPr>
          <w:sz w:val="24"/>
        </w:rPr>
        <w:t>100.000, --</w:t>
      </w:r>
      <w:r>
        <w:rPr>
          <w:spacing w:val="-2"/>
          <w:sz w:val="24"/>
        </w:rPr>
        <w:t xml:space="preserve"> </w:t>
      </w:r>
      <w:r>
        <w:rPr>
          <w:sz w:val="24"/>
        </w:rPr>
        <w:t>Kč.</w:t>
      </w:r>
    </w:p>
    <w:p w14:paraId="0EEBA1D0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81"/>
        <w:ind w:hanging="361"/>
        <w:rPr>
          <w:sz w:val="24"/>
        </w:rPr>
      </w:pPr>
      <w:r>
        <w:rPr>
          <w:sz w:val="24"/>
        </w:rPr>
        <w:t>Záležitosti neupravené tímto Řádem se řídí příslušnými</w:t>
      </w:r>
      <w:r>
        <w:rPr>
          <w:spacing w:val="-5"/>
          <w:sz w:val="24"/>
        </w:rPr>
        <w:t xml:space="preserve"> </w:t>
      </w:r>
      <w:r>
        <w:rPr>
          <w:sz w:val="24"/>
        </w:rPr>
        <w:t>zákony.</w:t>
      </w:r>
    </w:p>
    <w:p w14:paraId="00AB58E5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77" w:line="242" w:lineRule="auto"/>
        <w:ind w:right="110"/>
        <w:rPr>
          <w:sz w:val="24"/>
        </w:rPr>
      </w:pPr>
      <w:r>
        <w:rPr>
          <w:sz w:val="24"/>
        </w:rPr>
        <w:t>Výjimky z Řádu pohřebiště dle individuální žádosti může schválit provozovatel pohřebiště.</w:t>
      </w:r>
    </w:p>
    <w:p w14:paraId="487E02BC" w14:textId="77777777" w:rsidR="006C0C41" w:rsidRDefault="00C43861">
      <w:pPr>
        <w:pStyle w:val="Odstavecseseznamem"/>
        <w:numPr>
          <w:ilvl w:val="0"/>
          <w:numId w:val="1"/>
        </w:numPr>
        <w:tabs>
          <w:tab w:val="left" w:pos="836"/>
        </w:tabs>
        <w:spacing w:before="74" w:line="242" w:lineRule="auto"/>
        <w:ind w:right="111" w:hanging="361"/>
        <w:rPr>
          <w:sz w:val="24"/>
        </w:rPr>
      </w:pPr>
      <w:r>
        <w:rPr>
          <w:sz w:val="24"/>
        </w:rPr>
        <w:t xml:space="preserve">Dnem nabytí účinnosti tohoto schváleného Řádu veřejného pohřebiště se zrušuje v celém rozsahu dosud patný Řád veřejného pohřebiště platný od r. </w:t>
      </w:r>
      <w:r w:rsidR="000E3749">
        <w:rPr>
          <w:sz w:val="24"/>
        </w:rPr>
        <w:t>2002.</w:t>
      </w:r>
    </w:p>
    <w:p w14:paraId="253BD352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78"/>
        <w:rPr>
          <w:sz w:val="24"/>
        </w:rPr>
      </w:pPr>
      <w:r>
        <w:rPr>
          <w:sz w:val="24"/>
        </w:rPr>
        <w:t>Tento Řád nabývá účinnosti dne</w:t>
      </w:r>
      <w:r>
        <w:rPr>
          <w:spacing w:val="-3"/>
          <w:sz w:val="24"/>
        </w:rPr>
        <w:t xml:space="preserve"> </w:t>
      </w:r>
      <w:r w:rsidR="00E02242">
        <w:rPr>
          <w:spacing w:val="-3"/>
          <w:sz w:val="24"/>
        </w:rPr>
        <w:t>1.6.2020</w:t>
      </w:r>
    </w:p>
    <w:p w14:paraId="0326BABF" w14:textId="77777777" w:rsidR="006C0C41" w:rsidRDefault="00D55382">
      <w:pPr>
        <w:pStyle w:val="Odstavecseseznamem"/>
        <w:numPr>
          <w:ilvl w:val="0"/>
          <w:numId w:val="1"/>
        </w:numPr>
        <w:tabs>
          <w:tab w:val="left" w:pos="836"/>
        </w:tabs>
        <w:spacing w:before="77"/>
        <w:ind w:left="835" w:right="107"/>
        <w:jc w:val="both"/>
        <w:rPr>
          <w:sz w:val="24"/>
        </w:rPr>
      </w:pPr>
      <w:r>
        <w:rPr>
          <w:sz w:val="24"/>
        </w:rPr>
        <w:t>Řád veřejného pohřebiště bude vyvěšen na ú</w:t>
      </w:r>
      <w:r w:rsidR="00CB1DAA">
        <w:rPr>
          <w:sz w:val="24"/>
        </w:rPr>
        <w:t>řední desce Obecního úřadu Košice</w:t>
      </w:r>
      <w:r>
        <w:rPr>
          <w:sz w:val="24"/>
        </w:rPr>
        <w:t xml:space="preserve"> po dobu 15-ti dnů a po celou dobu platnosti bude zveřejněn na vývěsce v areálu pohřebiště.</w:t>
      </w:r>
    </w:p>
    <w:p w14:paraId="7FD6EF93" w14:textId="77777777" w:rsidR="00762E78" w:rsidRDefault="00762E78" w:rsidP="00762E78">
      <w:pPr>
        <w:pStyle w:val="Odstavecseseznamem"/>
        <w:tabs>
          <w:tab w:val="left" w:pos="836"/>
        </w:tabs>
        <w:spacing w:before="77"/>
        <w:ind w:left="835" w:right="107" w:firstLine="0"/>
        <w:jc w:val="left"/>
        <w:rPr>
          <w:sz w:val="24"/>
        </w:rPr>
      </w:pPr>
    </w:p>
    <w:p w14:paraId="73B1D177" w14:textId="77777777" w:rsidR="006C0C41" w:rsidRDefault="006C0C41">
      <w:pPr>
        <w:pStyle w:val="Zkladntext"/>
        <w:spacing w:before="1"/>
        <w:jc w:val="left"/>
        <w:rPr>
          <w:sz w:val="30"/>
        </w:rPr>
      </w:pPr>
    </w:p>
    <w:p w14:paraId="07BDA4C4" w14:textId="77777777" w:rsidR="006C0C41" w:rsidRDefault="00CB1DAA">
      <w:pPr>
        <w:pStyle w:val="Zkladntext"/>
        <w:ind w:left="115"/>
        <w:jc w:val="left"/>
      </w:pPr>
      <w:r>
        <w:t xml:space="preserve">V Košicích </w:t>
      </w:r>
      <w:r w:rsidR="00E02242">
        <w:t>15.5.2020</w:t>
      </w:r>
    </w:p>
    <w:p w14:paraId="1166A14A" w14:textId="77777777" w:rsidR="006C0C41" w:rsidRDefault="006C0C41">
      <w:pPr>
        <w:pStyle w:val="Zkladntext"/>
        <w:jc w:val="left"/>
        <w:rPr>
          <w:sz w:val="26"/>
        </w:rPr>
      </w:pPr>
    </w:p>
    <w:p w14:paraId="29463C32" w14:textId="77777777" w:rsidR="006C0C41" w:rsidRDefault="006C0C41" w:rsidP="00CB1DAA">
      <w:pPr>
        <w:pStyle w:val="Zkladntext"/>
        <w:spacing w:before="217"/>
        <w:ind w:right="623"/>
      </w:pPr>
    </w:p>
    <w:p w14:paraId="0680195E" w14:textId="77777777" w:rsidR="006C0C41" w:rsidRDefault="00CB1DAA" w:rsidP="00CB1DAA">
      <w:pPr>
        <w:ind w:left="2743" w:right="623"/>
        <w:rPr>
          <w:i/>
          <w:sz w:val="24"/>
        </w:rPr>
      </w:pPr>
      <w:r>
        <w:rPr>
          <w:i/>
          <w:sz w:val="24"/>
        </w:rPr>
        <w:t xml:space="preserve">                                                        Jaromír Černý</w:t>
      </w:r>
    </w:p>
    <w:p w14:paraId="7B59DE65" w14:textId="693DD901" w:rsidR="00CB1DAA" w:rsidRDefault="00CB1DAA" w:rsidP="00CB1DAA">
      <w:pPr>
        <w:ind w:left="2743" w:right="623"/>
        <w:rPr>
          <w:i/>
          <w:sz w:val="24"/>
        </w:rPr>
      </w:pPr>
      <w:r>
        <w:rPr>
          <w:i/>
          <w:sz w:val="24"/>
        </w:rPr>
        <w:t xml:space="preserve">                                                   starosta obce Košice</w:t>
      </w:r>
    </w:p>
    <w:p w14:paraId="04BAED1C" w14:textId="1226F450" w:rsidR="00654BC0" w:rsidRDefault="00654BC0" w:rsidP="00CB1DAA">
      <w:pPr>
        <w:ind w:left="2743" w:right="623"/>
        <w:rPr>
          <w:i/>
          <w:sz w:val="24"/>
        </w:rPr>
      </w:pPr>
    </w:p>
    <w:p w14:paraId="7B7749D2" w14:textId="2A57F64D" w:rsidR="00654BC0" w:rsidRDefault="00654BC0" w:rsidP="00CB1DAA">
      <w:pPr>
        <w:ind w:left="2743" w:right="623"/>
        <w:rPr>
          <w:i/>
          <w:sz w:val="24"/>
        </w:rPr>
      </w:pPr>
    </w:p>
    <w:p w14:paraId="0B90A8F0" w14:textId="47ADC52C" w:rsidR="00654BC0" w:rsidRDefault="00654BC0" w:rsidP="00CB1DAA">
      <w:pPr>
        <w:ind w:left="2743" w:right="623"/>
        <w:rPr>
          <w:i/>
          <w:sz w:val="24"/>
        </w:rPr>
      </w:pPr>
    </w:p>
    <w:p w14:paraId="7071F57C" w14:textId="5EE38158" w:rsidR="00654BC0" w:rsidRDefault="00654BC0" w:rsidP="00CB1DAA">
      <w:pPr>
        <w:ind w:left="2743" w:right="623"/>
        <w:rPr>
          <w:i/>
          <w:sz w:val="24"/>
        </w:rPr>
      </w:pPr>
    </w:p>
    <w:p w14:paraId="58E5EB01" w14:textId="07755DA2" w:rsidR="00654BC0" w:rsidRDefault="00654BC0" w:rsidP="00CB1DAA">
      <w:pPr>
        <w:ind w:left="2743" w:right="623"/>
        <w:rPr>
          <w:i/>
          <w:sz w:val="24"/>
        </w:rPr>
      </w:pPr>
    </w:p>
    <w:p w14:paraId="3C95C247" w14:textId="60AE2403" w:rsidR="00654BC0" w:rsidRDefault="00654BC0" w:rsidP="00CB1DAA">
      <w:pPr>
        <w:ind w:left="2743" w:right="623"/>
        <w:rPr>
          <w:iCs/>
          <w:sz w:val="24"/>
        </w:rPr>
      </w:pPr>
      <w:r>
        <w:rPr>
          <w:iCs/>
          <w:sz w:val="24"/>
        </w:rPr>
        <w:t>Vyvěšeno na ÚD    15.5.2020</w:t>
      </w:r>
    </w:p>
    <w:p w14:paraId="3815D438" w14:textId="387B2EDA" w:rsidR="00654BC0" w:rsidRDefault="00654BC0" w:rsidP="00CB1DAA">
      <w:pPr>
        <w:ind w:left="2743" w:right="623"/>
        <w:rPr>
          <w:iCs/>
          <w:sz w:val="24"/>
        </w:rPr>
      </w:pPr>
    </w:p>
    <w:p w14:paraId="68C1381C" w14:textId="55172E6F" w:rsidR="00654BC0" w:rsidRDefault="00654BC0" w:rsidP="00CB1DAA">
      <w:pPr>
        <w:ind w:left="2743" w:right="623"/>
        <w:rPr>
          <w:iCs/>
          <w:sz w:val="24"/>
        </w:rPr>
      </w:pPr>
      <w:r>
        <w:rPr>
          <w:iCs/>
          <w:sz w:val="24"/>
        </w:rPr>
        <w:t>Sejmuto z ÚD         31.5.2020</w:t>
      </w:r>
    </w:p>
    <w:p w14:paraId="755D3349" w14:textId="138564FE" w:rsidR="00654BC0" w:rsidRDefault="00654BC0" w:rsidP="00CB1DAA">
      <w:pPr>
        <w:ind w:left="2743" w:right="623"/>
        <w:rPr>
          <w:iCs/>
          <w:sz w:val="24"/>
        </w:rPr>
      </w:pPr>
    </w:p>
    <w:p w14:paraId="7F802648" w14:textId="08059C4B" w:rsidR="00654BC0" w:rsidRPr="00654BC0" w:rsidRDefault="00654BC0" w:rsidP="00CB1DAA">
      <w:pPr>
        <w:ind w:left="2743" w:right="623"/>
        <w:rPr>
          <w:iCs/>
          <w:sz w:val="24"/>
        </w:rPr>
      </w:pPr>
      <w:r>
        <w:rPr>
          <w:iCs/>
          <w:sz w:val="24"/>
        </w:rPr>
        <w:t>Vyvěšeno též v elektron. podobě</w:t>
      </w:r>
    </w:p>
    <w:sectPr w:rsidR="00654BC0" w:rsidRPr="00654BC0" w:rsidSect="006C0C41">
      <w:pgSz w:w="11900" w:h="16840"/>
      <w:pgMar w:top="1340" w:right="1300" w:bottom="980" w:left="13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5EDE" w14:textId="77777777" w:rsidR="00AF5281" w:rsidRDefault="00AF5281" w:rsidP="006C0C41">
      <w:r>
        <w:separator/>
      </w:r>
    </w:p>
  </w:endnote>
  <w:endnote w:type="continuationSeparator" w:id="0">
    <w:p w14:paraId="771BBC4F" w14:textId="77777777" w:rsidR="00AF5281" w:rsidRDefault="00AF5281" w:rsidP="006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7684" w14:textId="77777777" w:rsidR="00810581" w:rsidRDefault="00810581">
    <w:pPr>
      <w:pStyle w:val="Zkladntext"/>
      <w:spacing w:line="14" w:lineRule="auto"/>
      <w:jc w:val="lef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BE93D9" wp14:editId="683ADE78">
              <wp:simplePos x="0" y="0"/>
              <wp:positionH relativeFrom="page">
                <wp:posOffset>3703320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9E5A" w14:textId="77777777" w:rsidR="00810581" w:rsidRDefault="00810581">
                          <w:pPr>
                            <w:pStyle w:val="Zkladntext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nFChC4QAAAA0BAAAPAAAAAAAAAAAAAAAAAEAEAABkcnMvZG93bnJl&#10;di54bWxQSwUGAAAAAAQABADzAAAATgUAAAAA&#10;" filled="f" stroked="f">
              <v:textbox inset="0,0,0,0">
                <w:txbxContent>
                  <w:p w:rsidR="00810581" w:rsidRDefault="00810581">
                    <w:pPr>
                      <w:pStyle w:val="Zkladntext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F00A" w14:textId="77777777" w:rsidR="00AF5281" w:rsidRDefault="00AF5281" w:rsidP="006C0C41">
      <w:r>
        <w:separator/>
      </w:r>
    </w:p>
  </w:footnote>
  <w:footnote w:type="continuationSeparator" w:id="0">
    <w:p w14:paraId="34BFFA1C" w14:textId="77777777" w:rsidR="00AF5281" w:rsidRDefault="00AF5281" w:rsidP="006C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C41"/>
    <w:multiLevelType w:val="hybridMultilevel"/>
    <w:tmpl w:val="4C968F9A"/>
    <w:lvl w:ilvl="0" w:tplc="95EAA1CA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318668D0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5D4EF69A">
      <w:numFmt w:val="bullet"/>
      <w:lvlText w:val="•"/>
      <w:lvlJc w:val="left"/>
      <w:pPr>
        <w:ind w:left="2082" w:hanging="360"/>
      </w:pPr>
      <w:rPr>
        <w:rFonts w:hint="default"/>
        <w:lang w:val="cs-CZ" w:eastAsia="en-US" w:bidi="ar-SA"/>
      </w:rPr>
    </w:lvl>
    <w:lvl w:ilvl="3" w:tplc="0C62692A">
      <w:numFmt w:val="bullet"/>
      <w:lvlText w:val="•"/>
      <w:lvlJc w:val="left"/>
      <w:pPr>
        <w:ind w:left="2984" w:hanging="360"/>
      </w:pPr>
      <w:rPr>
        <w:rFonts w:hint="default"/>
        <w:lang w:val="cs-CZ" w:eastAsia="en-US" w:bidi="ar-SA"/>
      </w:rPr>
    </w:lvl>
    <w:lvl w:ilvl="4" w:tplc="D7A0BE76">
      <w:numFmt w:val="bullet"/>
      <w:lvlText w:val="•"/>
      <w:lvlJc w:val="left"/>
      <w:pPr>
        <w:ind w:left="3886" w:hanging="360"/>
      </w:pPr>
      <w:rPr>
        <w:rFonts w:hint="default"/>
        <w:lang w:val="cs-CZ" w:eastAsia="en-US" w:bidi="ar-SA"/>
      </w:rPr>
    </w:lvl>
    <w:lvl w:ilvl="5" w:tplc="5F804C28">
      <w:numFmt w:val="bullet"/>
      <w:lvlText w:val="•"/>
      <w:lvlJc w:val="left"/>
      <w:pPr>
        <w:ind w:left="4788" w:hanging="360"/>
      </w:pPr>
      <w:rPr>
        <w:rFonts w:hint="default"/>
        <w:lang w:val="cs-CZ" w:eastAsia="en-US" w:bidi="ar-SA"/>
      </w:rPr>
    </w:lvl>
    <w:lvl w:ilvl="6" w:tplc="02DCED90">
      <w:numFmt w:val="bullet"/>
      <w:lvlText w:val="•"/>
      <w:lvlJc w:val="left"/>
      <w:pPr>
        <w:ind w:left="5691" w:hanging="360"/>
      </w:pPr>
      <w:rPr>
        <w:rFonts w:hint="default"/>
        <w:lang w:val="cs-CZ" w:eastAsia="en-US" w:bidi="ar-SA"/>
      </w:rPr>
    </w:lvl>
    <w:lvl w:ilvl="7" w:tplc="35101058">
      <w:numFmt w:val="bullet"/>
      <w:lvlText w:val="•"/>
      <w:lvlJc w:val="left"/>
      <w:pPr>
        <w:ind w:left="6593" w:hanging="360"/>
      </w:pPr>
      <w:rPr>
        <w:rFonts w:hint="default"/>
        <w:lang w:val="cs-CZ" w:eastAsia="en-US" w:bidi="ar-SA"/>
      </w:rPr>
    </w:lvl>
    <w:lvl w:ilvl="8" w:tplc="792286BC">
      <w:numFmt w:val="bullet"/>
      <w:lvlText w:val="•"/>
      <w:lvlJc w:val="left"/>
      <w:pPr>
        <w:ind w:left="749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6234450"/>
    <w:multiLevelType w:val="hybridMultilevel"/>
    <w:tmpl w:val="CC08EE62"/>
    <w:lvl w:ilvl="0" w:tplc="BED8069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52C6040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61FEB212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E5D8203E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74DA6A4E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D2B04F9A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155CB1FE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007E6156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B4FC9CEC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C9F63FB"/>
    <w:multiLevelType w:val="hybridMultilevel"/>
    <w:tmpl w:val="D81ADF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CB1B53"/>
    <w:multiLevelType w:val="hybridMultilevel"/>
    <w:tmpl w:val="F5066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05C"/>
    <w:multiLevelType w:val="hybridMultilevel"/>
    <w:tmpl w:val="DCD8D212"/>
    <w:lvl w:ilvl="0" w:tplc="8C589D96">
      <w:start w:val="1"/>
      <w:numFmt w:val="decimal"/>
      <w:lvlText w:val="%1."/>
      <w:lvlJc w:val="left"/>
      <w:pPr>
        <w:ind w:left="82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00A05CC8">
      <w:numFmt w:val="bullet"/>
      <w:lvlText w:val="•"/>
      <w:lvlJc w:val="left"/>
      <w:pPr>
        <w:ind w:left="1668" w:hanging="363"/>
      </w:pPr>
      <w:rPr>
        <w:rFonts w:hint="default"/>
        <w:lang w:val="cs-CZ" w:eastAsia="en-US" w:bidi="ar-SA"/>
      </w:rPr>
    </w:lvl>
    <w:lvl w:ilvl="2" w:tplc="DCD0B91A">
      <w:numFmt w:val="bullet"/>
      <w:lvlText w:val="•"/>
      <w:lvlJc w:val="left"/>
      <w:pPr>
        <w:ind w:left="2516" w:hanging="363"/>
      </w:pPr>
      <w:rPr>
        <w:rFonts w:hint="default"/>
        <w:lang w:val="cs-CZ" w:eastAsia="en-US" w:bidi="ar-SA"/>
      </w:rPr>
    </w:lvl>
    <w:lvl w:ilvl="3" w:tplc="D3DC2CF6">
      <w:numFmt w:val="bullet"/>
      <w:lvlText w:val="•"/>
      <w:lvlJc w:val="left"/>
      <w:pPr>
        <w:ind w:left="3364" w:hanging="363"/>
      </w:pPr>
      <w:rPr>
        <w:rFonts w:hint="default"/>
        <w:lang w:val="cs-CZ" w:eastAsia="en-US" w:bidi="ar-SA"/>
      </w:rPr>
    </w:lvl>
    <w:lvl w:ilvl="4" w:tplc="3DE867A6">
      <w:numFmt w:val="bullet"/>
      <w:lvlText w:val="•"/>
      <w:lvlJc w:val="left"/>
      <w:pPr>
        <w:ind w:left="4212" w:hanging="363"/>
      </w:pPr>
      <w:rPr>
        <w:rFonts w:hint="default"/>
        <w:lang w:val="cs-CZ" w:eastAsia="en-US" w:bidi="ar-SA"/>
      </w:rPr>
    </w:lvl>
    <w:lvl w:ilvl="5" w:tplc="CEF635E2">
      <w:numFmt w:val="bullet"/>
      <w:lvlText w:val="•"/>
      <w:lvlJc w:val="left"/>
      <w:pPr>
        <w:ind w:left="5060" w:hanging="363"/>
      </w:pPr>
      <w:rPr>
        <w:rFonts w:hint="default"/>
        <w:lang w:val="cs-CZ" w:eastAsia="en-US" w:bidi="ar-SA"/>
      </w:rPr>
    </w:lvl>
    <w:lvl w:ilvl="6" w:tplc="9D30A30A">
      <w:numFmt w:val="bullet"/>
      <w:lvlText w:val="•"/>
      <w:lvlJc w:val="left"/>
      <w:pPr>
        <w:ind w:left="5908" w:hanging="363"/>
      </w:pPr>
      <w:rPr>
        <w:rFonts w:hint="default"/>
        <w:lang w:val="cs-CZ" w:eastAsia="en-US" w:bidi="ar-SA"/>
      </w:rPr>
    </w:lvl>
    <w:lvl w:ilvl="7" w:tplc="323C8B36">
      <w:numFmt w:val="bullet"/>
      <w:lvlText w:val="•"/>
      <w:lvlJc w:val="left"/>
      <w:pPr>
        <w:ind w:left="6756" w:hanging="363"/>
      </w:pPr>
      <w:rPr>
        <w:rFonts w:hint="default"/>
        <w:lang w:val="cs-CZ" w:eastAsia="en-US" w:bidi="ar-SA"/>
      </w:rPr>
    </w:lvl>
    <w:lvl w:ilvl="8" w:tplc="FDBE26FA">
      <w:numFmt w:val="bullet"/>
      <w:lvlText w:val="•"/>
      <w:lvlJc w:val="left"/>
      <w:pPr>
        <w:ind w:left="7604" w:hanging="363"/>
      </w:pPr>
      <w:rPr>
        <w:rFonts w:hint="default"/>
        <w:lang w:val="cs-CZ" w:eastAsia="en-US" w:bidi="ar-SA"/>
      </w:rPr>
    </w:lvl>
  </w:abstractNum>
  <w:abstractNum w:abstractNumId="5" w15:restartNumberingAfterBreak="0">
    <w:nsid w:val="56F84195"/>
    <w:multiLevelType w:val="hybridMultilevel"/>
    <w:tmpl w:val="AD54128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7">
      <w:start w:val="1"/>
      <w:numFmt w:val="lowerLetter"/>
      <w:lvlText w:val="%2)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AED6DCC"/>
    <w:multiLevelType w:val="hybridMultilevel"/>
    <w:tmpl w:val="E780C1AC"/>
    <w:lvl w:ilvl="0" w:tplc="89421FC8">
      <w:start w:val="1"/>
      <w:numFmt w:val="decimal"/>
      <w:lvlText w:val="%1."/>
      <w:lvlJc w:val="left"/>
      <w:pPr>
        <w:ind w:left="807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8742501C">
      <w:numFmt w:val="bullet"/>
      <w:lvlText w:val="•"/>
      <w:lvlJc w:val="left"/>
      <w:pPr>
        <w:ind w:left="1650" w:hanging="348"/>
      </w:pPr>
      <w:rPr>
        <w:rFonts w:hint="default"/>
        <w:lang w:val="cs-CZ" w:eastAsia="en-US" w:bidi="ar-SA"/>
      </w:rPr>
    </w:lvl>
    <w:lvl w:ilvl="2" w:tplc="C1961EA2">
      <w:numFmt w:val="bullet"/>
      <w:lvlText w:val="•"/>
      <w:lvlJc w:val="left"/>
      <w:pPr>
        <w:ind w:left="2500" w:hanging="348"/>
      </w:pPr>
      <w:rPr>
        <w:rFonts w:hint="default"/>
        <w:lang w:val="cs-CZ" w:eastAsia="en-US" w:bidi="ar-SA"/>
      </w:rPr>
    </w:lvl>
    <w:lvl w:ilvl="3" w:tplc="B37A0612">
      <w:numFmt w:val="bullet"/>
      <w:lvlText w:val="•"/>
      <w:lvlJc w:val="left"/>
      <w:pPr>
        <w:ind w:left="3350" w:hanging="348"/>
      </w:pPr>
      <w:rPr>
        <w:rFonts w:hint="default"/>
        <w:lang w:val="cs-CZ" w:eastAsia="en-US" w:bidi="ar-SA"/>
      </w:rPr>
    </w:lvl>
    <w:lvl w:ilvl="4" w:tplc="475C11A4">
      <w:numFmt w:val="bullet"/>
      <w:lvlText w:val="•"/>
      <w:lvlJc w:val="left"/>
      <w:pPr>
        <w:ind w:left="4200" w:hanging="348"/>
      </w:pPr>
      <w:rPr>
        <w:rFonts w:hint="default"/>
        <w:lang w:val="cs-CZ" w:eastAsia="en-US" w:bidi="ar-SA"/>
      </w:rPr>
    </w:lvl>
    <w:lvl w:ilvl="5" w:tplc="0680CB18">
      <w:numFmt w:val="bullet"/>
      <w:lvlText w:val="•"/>
      <w:lvlJc w:val="left"/>
      <w:pPr>
        <w:ind w:left="5050" w:hanging="348"/>
      </w:pPr>
      <w:rPr>
        <w:rFonts w:hint="default"/>
        <w:lang w:val="cs-CZ" w:eastAsia="en-US" w:bidi="ar-SA"/>
      </w:rPr>
    </w:lvl>
    <w:lvl w:ilvl="6" w:tplc="E066323E">
      <w:numFmt w:val="bullet"/>
      <w:lvlText w:val="•"/>
      <w:lvlJc w:val="left"/>
      <w:pPr>
        <w:ind w:left="5900" w:hanging="348"/>
      </w:pPr>
      <w:rPr>
        <w:rFonts w:hint="default"/>
        <w:lang w:val="cs-CZ" w:eastAsia="en-US" w:bidi="ar-SA"/>
      </w:rPr>
    </w:lvl>
    <w:lvl w:ilvl="7" w:tplc="DF685C0E">
      <w:numFmt w:val="bullet"/>
      <w:lvlText w:val="•"/>
      <w:lvlJc w:val="left"/>
      <w:pPr>
        <w:ind w:left="6750" w:hanging="348"/>
      </w:pPr>
      <w:rPr>
        <w:rFonts w:hint="default"/>
        <w:lang w:val="cs-CZ" w:eastAsia="en-US" w:bidi="ar-SA"/>
      </w:rPr>
    </w:lvl>
    <w:lvl w:ilvl="8" w:tplc="108E5408">
      <w:numFmt w:val="bullet"/>
      <w:lvlText w:val="•"/>
      <w:lvlJc w:val="left"/>
      <w:pPr>
        <w:ind w:left="7600" w:hanging="348"/>
      </w:pPr>
      <w:rPr>
        <w:rFonts w:hint="default"/>
        <w:lang w:val="cs-CZ" w:eastAsia="en-US" w:bidi="ar-SA"/>
      </w:rPr>
    </w:lvl>
  </w:abstractNum>
  <w:abstractNum w:abstractNumId="7" w15:restartNumberingAfterBreak="0">
    <w:nsid w:val="64EB487E"/>
    <w:multiLevelType w:val="hybridMultilevel"/>
    <w:tmpl w:val="871EF788"/>
    <w:lvl w:ilvl="0" w:tplc="9DE016E0">
      <w:start w:val="1"/>
      <w:numFmt w:val="decimal"/>
      <w:lvlText w:val="%1."/>
      <w:lvlJc w:val="left"/>
      <w:pPr>
        <w:ind w:left="828" w:hanging="363"/>
        <w:jc w:val="left"/>
      </w:pPr>
      <w:rPr>
        <w:rFonts w:hint="default"/>
        <w:w w:val="99"/>
        <w:lang w:val="cs-CZ" w:eastAsia="en-US" w:bidi="ar-SA"/>
      </w:rPr>
    </w:lvl>
    <w:lvl w:ilvl="1" w:tplc="06E49E14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F2AEB53E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A8868DDE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0FC2DF48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77509A8A">
      <w:numFmt w:val="bullet"/>
      <w:lvlText w:val="•"/>
      <w:lvlJc w:val="left"/>
      <w:pPr>
        <w:ind w:left="4800" w:hanging="360"/>
      </w:pPr>
      <w:rPr>
        <w:rFonts w:hint="default"/>
        <w:lang w:val="cs-CZ" w:eastAsia="en-US" w:bidi="ar-SA"/>
      </w:rPr>
    </w:lvl>
    <w:lvl w:ilvl="6" w:tplc="45D09524">
      <w:numFmt w:val="bullet"/>
      <w:lvlText w:val="•"/>
      <w:lvlJc w:val="left"/>
      <w:pPr>
        <w:ind w:left="5700" w:hanging="360"/>
      </w:pPr>
      <w:rPr>
        <w:rFonts w:hint="default"/>
        <w:lang w:val="cs-CZ" w:eastAsia="en-US" w:bidi="ar-SA"/>
      </w:rPr>
    </w:lvl>
    <w:lvl w:ilvl="7" w:tplc="F9549B5C">
      <w:numFmt w:val="bullet"/>
      <w:lvlText w:val="•"/>
      <w:lvlJc w:val="left"/>
      <w:pPr>
        <w:ind w:left="6600" w:hanging="360"/>
      </w:pPr>
      <w:rPr>
        <w:rFonts w:hint="default"/>
        <w:lang w:val="cs-CZ" w:eastAsia="en-US" w:bidi="ar-SA"/>
      </w:rPr>
    </w:lvl>
    <w:lvl w:ilvl="8" w:tplc="C98C7634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CAB1DDF"/>
    <w:multiLevelType w:val="hybridMultilevel"/>
    <w:tmpl w:val="C136E17E"/>
    <w:lvl w:ilvl="0" w:tplc="195A15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3AD8D43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FD507B24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9DCE8230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058E9CA0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48F8D5DA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A8180AF2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23668B00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EFAE7B20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8A93F3F"/>
    <w:multiLevelType w:val="hybridMultilevel"/>
    <w:tmpl w:val="2CBEBF8E"/>
    <w:lvl w:ilvl="0" w:tplc="3F1695E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06624812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5D0618E8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EAC65496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7F22ACA8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439AF820">
      <w:numFmt w:val="bullet"/>
      <w:lvlText w:val="•"/>
      <w:lvlJc w:val="left"/>
      <w:pPr>
        <w:ind w:left="4800" w:hanging="360"/>
      </w:pPr>
      <w:rPr>
        <w:rFonts w:hint="default"/>
        <w:lang w:val="cs-CZ" w:eastAsia="en-US" w:bidi="ar-SA"/>
      </w:rPr>
    </w:lvl>
    <w:lvl w:ilvl="6" w:tplc="A7F638C8">
      <w:numFmt w:val="bullet"/>
      <w:lvlText w:val="•"/>
      <w:lvlJc w:val="left"/>
      <w:pPr>
        <w:ind w:left="5700" w:hanging="360"/>
      </w:pPr>
      <w:rPr>
        <w:rFonts w:hint="default"/>
        <w:lang w:val="cs-CZ" w:eastAsia="en-US" w:bidi="ar-SA"/>
      </w:rPr>
    </w:lvl>
    <w:lvl w:ilvl="7" w:tplc="B7EC613E">
      <w:numFmt w:val="bullet"/>
      <w:lvlText w:val="•"/>
      <w:lvlJc w:val="left"/>
      <w:pPr>
        <w:ind w:left="6600" w:hanging="360"/>
      </w:pPr>
      <w:rPr>
        <w:rFonts w:hint="default"/>
        <w:lang w:val="cs-CZ" w:eastAsia="en-US" w:bidi="ar-SA"/>
      </w:rPr>
    </w:lvl>
    <w:lvl w:ilvl="8" w:tplc="DFCC41C6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41"/>
    <w:rsid w:val="000E3749"/>
    <w:rsid w:val="00101B6F"/>
    <w:rsid w:val="001A5B72"/>
    <w:rsid w:val="003127DB"/>
    <w:rsid w:val="00326A00"/>
    <w:rsid w:val="00374EF1"/>
    <w:rsid w:val="003922F8"/>
    <w:rsid w:val="003D761C"/>
    <w:rsid w:val="00445823"/>
    <w:rsid w:val="004778A6"/>
    <w:rsid w:val="00562F53"/>
    <w:rsid w:val="00637B28"/>
    <w:rsid w:val="00654BC0"/>
    <w:rsid w:val="006C0C41"/>
    <w:rsid w:val="00756ACD"/>
    <w:rsid w:val="00762E78"/>
    <w:rsid w:val="00810581"/>
    <w:rsid w:val="008170F9"/>
    <w:rsid w:val="008728B1"/>
    <w:rsid w:val="00A150D4"/>
    <w:rsid w:val="00A52014"/>
    <w:rsid w:val="00A53D48"/>
    <w:rsid w:val="00AF5281"/>
    <w:rsid w:val="00B42071"/>
    <w:rsid w:val="00BA3739"/>
    <w:rsid w:val="00BC4819"/>
    <w:rsid w:val="00BD3D95"/>
    <w:rsid w:val="00BF0FC6"/>
    <w:rsid w:val="00C43861"/>
    <w:rsid w:val="00C75F1F"/>
    <w:rsid w:val="00CB1DAA"/>
    <w:rsid w:val="00D02FBB"/>
    <w:rsid w:val="00D55382"/>
    <w:rsid w:val="00D733E5"/>
    <w:rsid w:val="00E02242"/>
    <w:rsid w:val="00E05BC9"/>
    <w:rsid w:val="00ED4F5D"/>
    <w:rsid w:val="00F3124F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A725"/>
  <w15:docId w15:val="{0D2299FD-583A-4CF6-9E43-5442792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6C0C41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C0C41"/>
    <w:pPr>
      <w:jc w:val="both"/>
    </w:pPr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6C0C41"/>
    <w:pPr>
      <w:ind w:left="625" w:right="623"/>
      <w:jc w:val="center"/>
      <w:outlineLvl w:val="1"/>
    </w:pPr>
    <w:rPr>
      <w:b/>
      <w:bCs/>
      <w:sz w:val="28"/>
      <w:szCs w:val="28"/>
    </w:rPr>
  </w:style>
  <w:style w:type="paragraph" w:styleId="Nzev">
    <w:name w:val="Title"/>
    <w:basedOn w:val="Normln"/>
    <w:uiPriority w:val="1"/>
    <w:qFormat/>
    <w:rsid w:val="006C0C41"/>
    <w:pPr>
      <w:spacing w:before="1"/>
      <w:ind w:left="106" w:right="99"/>
      <w:jc w:val="center"/>
    </w:pPr>
    <w:rPr>
      <w:b/>
      <w:bCs/>
      <w:sz w:val="42"/>
      <w:szCs w:val="42"/>
    </w:rPr>
  </w:style>
  <w:style w:type="paragraph" w:styleId="Odstavecseseznamem">
    <w:name w:val="List Paragraph"/>
    <w:basedOn w:val="Normln"/>
    <w:uiPriority w:val="34"/>
    <w:qFormat/>
    <w:rsid w:val="006C0C41"/>
    <w:pPr>
      <w:spacing w:before="79"/>
      <w:ind w:left="828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6C0C41"/>
  </w:style>
  <w:style w:type="paragraph" w:styleId="Textbubliny">
    <w:name w:val="Balloon Text"/>
    <w:basedOn w:val="Normln"/>
    <w:link w:val="TextbublinyChar"/>
    <w:uiPriority w:val="99"/>
    <w:semiHidden/>
    <w:unhideWhenUsed/>
    <w:rsid w:val="00762E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E78"/>
    <w:rPr>
      <w:rFonts w:ascii="Segoe UI" w:eastAsia="Times New Roman" w:hAnsi="Segoe UI" w:cs="Segoe UI"/>
      <w:sz w:val="18"/>
      <w:szCs w:val="18"/>
      <w:lang w:val="cs-CZ"/>
    </w:rPr>
  </w:style>
  <w:style w:type="paragraph" w:customStyle="1" w:styleId="Standard">
    <w:name w:val="Standard"/>
    <w:rsid w:val="00C43861"/>
    <w:pPr>
      <w:widowControl/>
      <w:suppressAutoHyphens/>
      <w:autoSpaceDE/>
      <w:spacing w:after="160" w:line="256" w:lineRule="auto"/>
    </w:pPr>
    <w:rPr>
      <w:rFonts w:ascii="Calibri" w:eastAsia="SimSun" w:hAnsi="Calibri" w:cs="Tahoma"/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3182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VEŘEJNÉHO POHŘEBIŠTĚ</vt:lpstr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VEŘEJNÉHO POHŘEBIŠTĚ</dc:title>
  <dc:creator>Podatelna</dc:creator>
  <cp:lastModifiedBy>staro</cp:lastModifiedBy>
  <cp:revision>6</cp:revision>
  <cp:lastPrinted>2020-04-21T10:42:00Z</cp:lastPrinted>
  <dcterms:created xsi:type="dcterms:W3CDTF">2020-05-14T12:40:00Z</dcterms:created>
  <dcterms:modified xsi:type="dcterms:W3CDTF">2021-07-16T07:05:00Z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2020-04-20T00:00:00Z</vt:filetime>
  </property>
</Properties>
</file>